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370F3" w14:textId="042631EC" w:rsidR="00D634F2" w:rsidRDefault="00D634F2" w:rsidP="00C86BB4">
      <w:pPr>
        <w:spacing w:after="120"/>
        <w:rPr>
          <w:rStyle w:val="SubtleEmphasis"/>
          <w:b w:val="0"/>
          <w:iCs w:val="0"/>
        </w:rPr>
      </w:pPr>
      <w:r>
        <w:rPr>
          <w:noProof/>
        </w:rPr>
        <w:drawing>
          <wp:inline distT="0" distB="0" distL="0" distR="0" wp14:anchorId="4855DD16" wp14:editId="4929D440">
            <wp:extent cx="5727700" cy="1880235"/>
            <wp:effectExtent l="0" t="0" r="635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880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3B12DA" w14:textId="61930353" w:rsidR="00635FA6" w:rsidRPr="00D634F2" w:rsidRDefault="00635FA6" w:rsidP="00C86BB4">
      <w:pPr>
        <w:pStyle w:val="Heading1"/>
        <w:spacing w:after="120"/>
      </w:pPr>
      <w:r w:rsidRPr="00D634F2">
        <w:t xml:space="preserve">BikeReady introduction </w:t>
      </w:r>
    </w:p>
    <w:p w14:paraId="23B91832" w14:textId="357A0F23" w:rsidR="00635FA6" w:rsidRPr="000E0F88" w:rsidRDefault="00635FA6" w:rsidP="00C86BB4">
      <w:pPr>
        <w:spacing w:after="120"/>
        <w:rPr>
          <w:bCs/>
          <w:iCs/>
        </w:rPr>
      </w:pPr>
      <w:r w:rsidRPr="000E0F88">
        <w:rPr>
          <w:bCs/>
          <w:iCs/>
        </w:rPr>
        <w:t>Curriculum-based lesson plans developed to support learning experiences in the BikeReady cycle skills training sessions</w:t>
      </w:r>
      <w:r w:rsidR="00D634F2">
        <w:rPr>
          <w:bCs/>
          <w:iCs/>
        </w:rPr>
        <w:t>. Updated 2022.</w:t>
      </w:r>
    </w:p>
    <w:p w14:paraId="0EE20824" w14:textId="77777777" w:rsidR="00635FA6" w:rsidRDefault="00635FA6" w:rsidP="00C86BB4">
      <w:pPr>
        <w:spacing w:after="120"/>
        <w:rPr>
          <w:rStyle w:val="SubtleEmphasis"/>
        </w:rPr>
      </w:pPr>
    </w:p>
    <w:p w14:paraId="26016C24" w14:textId="77777777" w:rsidR="00635FA6" w:rsidRDefault="00635FA6" w:rsidP="00C86BB4">
      <w:pPr>
        <w:spacing w:after="120"/>
        <w:rPr>
          <w:rStyle w:val="SubtleEmphasis"/>
          <w:b w:val="0"/>
          <w:bCs/>
        </w:rPr>
      </w:pPr>
      <w:r w:rsidRPr="007F3920">
        <w:rPr>
          <w:rStyle w:val="SubtleEmphasis"/>
          <w:b w:val="0"/>
          <w:bCs/>
        </w:rPr>
        <w:t xml:space="preserve">This resource provides classroom teachers with learning activities that encourage students to solve problems, discuss, </w:t>
      </w:r>
      <w:proofErr w:type="gramStart"/>
      <w:r w:rsidRPr="007F3920">
        <w:rPr>
          <w:rStyle w:val="SubtleEmphasis"/>
          <w:b w:val="0"/>
          <w:bCs/>
        </w:rPr>
        <w:t>experiment</w:t>
      </w:r>
      <w:proofErr w:type="gramEnd"/>
      <w:r w:rsidRPr="007F3920">
        <w:rPr>
          <w:rStyle w:val="SubtleEmphasis"/>
          <w:b w:val="0"/>
          <w:bCs/>
        </w:rPr>
        <w:t xml:space="preserve"> and create resources to develop a deep understanding of safe riding and having fun when riding.</w:t>
      </w:r>
    </w:p>
    <w:p w14:paraId="1F9E6E55" w14:textId="77777777" w:rsidR="00635FA6" w:rsidRPr="007F3920" w:rsidRDefault="00635FA6" w:rsidP="00C86BB4">
      <w:pPr>
        <w:spacing w:after="120"/>
        <w:rPr>
          <w:rStyle w:val="SubtleEmphasis"/>
          <w:b w:val="0"/>
          <w:bCs/>
        </w:rPr>
      </w:pPr>
      <w:r w:rsidRPr="007F3920">
        <w:rPr>
          <w:rStyle w:val="SubtleEmphasis"/>
          <w:b w:val="0"/>
          <w:bCs/>
        </w:rPr>
        <w:t xml:space="preserve">Students learn the causes and consequences of safe and fun cycling as well as risk management strategies to keep cyclists safe. </w:t>
      </w:r>
    </w:p>
    <w:p w14:paraId="1BFB70C6" w14:textId="77777777" w:rsidR="00635FA6" w:rsidRDefault="00635FA6" w:rsidP="00C86BB4">
      <w:pPr>
        <w:spacing w:after="120"/>
        <w:rPr>
          <w:rStyle w:val="SubtleEmphasis"/>
          <w:b w:val="0"/>
          <w:bCs/>
        </w:rPr>
      </w:pPr>
      <w:r w:rsidRPr="007F3920">
        <w:rPr>
          <w:rStyle w:val="SubtleEmphasis"/>
          <w:b w:val="0"/>
          <w:bCs/>
        </w:rPr>
        <w:t xml:space="preserve">The resource is designed for classroom use alongside student participation in BikeReady Grade 1 cycle skills training courses. </w:t>
      </w:r>
    </w:p>
    <w:p w14:paraId="4ECE09AA" w14:textId="77777777" w:rsidR="00D634F2" w:rsidRDefault="00D634F2" w:rsidP="00C86BB4">
      <w:pPr>
        <w:spacing w:after="120"/>
        <w:rPr>
          <w:rStyle w:val="SubtleEmphasis"/>
          <w:b w:val="0"/>
          <w:bCs/>
        </w:rPr>
      </w:pPr>
    </w:p>
    <w:p w14:paraId="6DE9981F" w14:textId="77777777" w:rsidR="00635FA6" w:rsidRPr="00D634F2" w:rsidRDefault="00635FA6" w:rsidP="00C86BB4">
      <w:pPr>
        <w:pStyle w:val="Heading2"/>
        <w:spacing w:after="120"/>
      </w:pPr>
      <w:r w:rsidRPr="00D634F2">
        <w:t>Big ideas</w:t>
      </w:r>
    </w:p>
    <w:p w14:paraId="38F66C5B" w14:textId="77777777" w:rsidR="00635FA6" w:rsidRPr="007F3920" w:rsidRDefault="00635FA6" w:rsidP="00C86BB4">
      <w:pPr>
        <w:spacing w:after="120"/>
        <w:rPr>
          <w:rStyle w:val="SubtleEmphasis"/>
          <w:b w:val="0"/>
          <w:bCs/>
        </w:rPr>
      </w:pPr>
      <w:r>
        <w:rPr>
          <w:rStyle w:val="SubtleEmphasis"/>
          <w:b w:val="0"/>
          <w:bCs/>
        </w:rPr>
        <w:t>This resource</w:t>
      </w:r>
      <w:r w:rsidRPr="007F3920">
        <w:rPr>
          <w:rStyle w:val="SubtleEmphasis"/>
          <w:b w:val="0"/>
          <w:bCs/>
        </w:rPr>
        <w:t xml:space="preserve"> activates learning through notions of:</w:t>
      </w:r>
    </w:p>
    <w:p w14:paraId="4FD23136" w14:textId="77777777" w:rsidR="00C86BB4" w:rsidRDefault="00C86BB4" w:rsidP="00C86BB4">
      <w:pPr>
        <w:spacing w:after="120"/>
        <w:rPr>
          <w:b/>
          <w:bCs/>
        </w:rPr>
      </w:pPr>
    </w:p>
    <w:p w14:paraId="1E5BB67F" w14:textId="584E52FA" w:rsidR="00635FA6" w:rsidRPr="007F3920" w:rsidRDefault="00635FA6" w:rsidP="00C86BB4">
      <w:pPr>
        <w:spacing w:after="120"/>
        <w:rPr>
          <w:b/>
          <w:bCs/>
        </w:rPr>
      </w:pPr>
      <w:r w:rsidRPr="007F3920">
        <w:rPr>
          <w:b/>
          <w:bCs/>
        </w:rPr>
        <w:t xml:space="preserve">Cycling and citizenship </w:t>
      </w:r>
    </w:p>
    <w:p w14:paraId="013788ED" w14:textId="77777777" w:rsidR="00635FA6" w:rsidRPr="007F3920" w:rsidRDefault="00635FA6" w:rsidP="00C86BB4">
      <w:pPr>
        <w:spacing w:after="120"/>
      </w:pPr>
      <w:r w:rsidRPr="007F3920">
        <w:t>People who use bicycles when using the road for transport are called cyclists.</w:t>
      </w:r>
    </w:p>
    <w:p w14:paraId="4A8CA019" w14:textId="77777777" w:rsidR="00635FA6" w:rsidRPr="007F3920" w:rsidRDefault="00635FA6" w:rsidP="00C86BB4">
      <w:pPr>
        <w:pStyle w:val="ListParagraph"/>
        <w:numPr>
          <w:ilvl w:val="0"/>
          <w:numId w:val="19"/>
        </w:numPr>
        <w:spacing w:after="120"/>
      </w:pPr>
      <w:r w:rsidRPr="007F3920">
        <w:t xml:space="preserve">Cyclists have special knowledge, skills, </w:t>
      </w:r>
      <w:proofErr w:type="gramStart"/>
      <w:r w:rsidRPr="007F3920">
        <w:t>attitudes</w:t>
      </w:r>
      <w:proofErr w:type="gramEnd"/>
      <w:r w:rsidRPr="007F3920">
        <w:t xml:space="preserve"> and behaviours.</w:t>
      </w:r>
    </w:p>
    <w:p w14:paraId="0FE6BB2C" w14:textId="77777777" w:rsidR="00635FA6" w:rsidRPr="007F3920" w:rsidRDefault="00635FA6" w:rsidP="00C86BB4">
      <w:pPr>
        <w:pStyle w:val="ListParagraph"/>
        <w:numPr>
          <w:ilvl w:val="0"/>
          <w:numId w:val="19"/>
        </w:numPr>
        <w:spacing w:after="120"/>
      </w:pPr>
      <w:r w:rsidRPr="007F3920">
        <w:t xml:space="preserve">Cyclists are citizens – they look out for other road users when sharing the road – so that all road users enjoy safer journeys.   </w:t>
      </w:r>
    </w:p>
    <w:p w14:paraId="21A74EFE" w14:textId="77777777" w:rsidR="00635FA6" w:rsidRPr="007F3920" w:rsidRDefault="00635FA6" w:rsidP="00C86BB4">
      <w:pPr>
        <w:pStyle w:val="ListParagraph"/>
        <w:numPr>
          <w:ilvl w:val="0"/>
          <w:numId w:val="19"/>
        </w:numPr>
        <w:spacing w:after="120"/>
      </w:pPr>
      <w:r w:rsidRPr="007F3920">
        <w:t>Rules and laws help cyclists have safer journeys.</w:t>
      </w:r>
    </w:p>
    <w:p w14:paraId="2A8E2F1B" w14:textId="77777777" w:rsidR="00635FA6" w:rsidRPr="00707173" w:rsidRDefault="00635FA6" w:rsidP="00C86BB4">
      <w:pPr>
        <w:pStyle w:val="ListParagraph"/>
        <w:numPr>
          <w:ilvl w:val="0"/>
          <w:numId w:val="19"/>
        </w:numPr>
        <w:spacing w:after="120"/>
      </w:pPr>
      <w:r w:rsidRPr="007F3920">
        <w:t>There</w:t>
      </w:r>
      <w:r w:rsidRPr="00707173">
        <w:t xml:space="preserve"> are rules and laws for cycling behaviour and cycling equipment.</w:t>
      </w:r>
    </w:p>
    <w:p w14:paraId="2BB1E791" w14:textId="77777777" w:rsidR="00635FA6" w:rsidRPr="00707173" w:rsidRDefault="00635FA6" w:rsidP="00C86BB4">
      <w:pPr>
        <w:spacing w:after="120"/>
      </w:pPr>
    </w:p>
    <w:p w14:paraId="630D6776" w14:textId="77777777" w:rsidR="00635FA6" w:rsidRPr="004F71CE" w:rsidRDefault="00635FA6" w:rsidP="00C86BB4">
      <w:pPr>
        <w:spacing w:after="120"/>
        <w:rPr>
          <w:b/>
          <w:bCs/>
        </w:rPr>
      </w:pPr>
      <w:r w:rsidRPr="004F71CE">
        <w:rPr>
          <w:b/>
          <w:bCs/>
        </w:rPr>
        <w:t>Cycling and well-being</w:t>
      </w:r>
    </w:p>
    <w:p w14:paraId="03C3589E" w14:textId="77777777" w:rsidR="00635FA6" w:rsidRPr="007F3920" w:rsidRDefault="00635FA6" w:rsidP="00C86BB4">
      <w:pPr>
        <w:spacing w:after="120"/>
      </w:pPr>
      <w:r w:rsidRPr="007F3920">
        <w:t>Cycling creates many opportunities for well-being (</w:t>
      </w:r>
      <w:proofErr w:type="spellStart"/>
      <w:r>
        <w:t>h</w:t>
      </w:r>
      <w:r w:rsidRPr="007F3920">
        <w:t>auora</w:t>
      </w:r>
      <w:proofErr w:type="spellEnd"/>
      <w:r w:rsidRPr="007F3920">
        <w:t>)</w:t>
      </w:r>
      <w:r>
        <w:t>:</w:t>
      </w:r>
    </w:p>
    <w:p w14:paraId="782B4816" w14:textId="77777777" w:rsidR="00635FA6" w:rsidRPr="007F3920" w:rsidRDefault="00635FA6" w:rsidP="00C86BB4">
      <w:pPr>
        <w:pStyle w:val="ListParagraph"/>
        <w:numPr>
          <w:ilvl w:val="0"/>
          <w:numId w:val="20"/>
        </w:numPr>
        <w:spacing w:after="120"/>
      </w:pPr>
      <w:r w:rsidRPr="007F3920">
        <w:t xml:space="preserve">Taha </w:t>
      </w:r>
      <w:proofErr w:type="spellStart"/>
      <w:r w:rsidRPr="007F3920">
        <w:t>tinana</w:t>
      </w:r>
      <w:proofErr w:type="spellEnd"/>
      <w:r w:rsidRPr="007F3920">
        <w:t xml:space="preserve"> – Physical well-being </w:t>
      </w:r>
    </w:p>
    <w:p w14:paraId="2F797804" w14:textId="77777777" w:rsidR="00635FA6" w:rsidRPr="007F3920" w:rsidRDefault="00635FA6" w:rsidP="00C86BB4">
      <w:pPr>
        <w:pStyle w:val="ListParagraph"/>
        <w:numPr>
          <w:ilvl w:val="0"/>
          <w:numId w:val="20"/>
        </w:numPr>
        <w:spacing w:after="120"/>
      </w:pPr>
      <w:r w:rsidRPr="007F3920">
        <w:t xml:space="preserve">Taha </w:t>
      </w:r>
      <w:proofErr w:type="spellStart"/>
      <w:r w:rsidRPr="007F3920">
        <w:t>hinengaro</w:t>
      </w:r>
      <w:proofErr w:type="spellEnd"/>
      <w:r w:rsidRPr="007F3920">
        <w:t xml:space="preserve"> – Mental and emotional well-being </w:t>
      </w:r>
    </w:p>
    <w:p w14:paraId="61FE0D63" w14:textId="77777777" w:rsidR="00635FA6" w:rsidRPr="007F3920" w:rsidRDefault="00635FA6" w:rsidP="00C86BB4">
      <w:pPr>
        <w:pStyle w:val="ListParagraph"/>
        <w:numPr>
          <w:ilvl w:val="0"/>
          <w:numId w:val="20"/>
        </w:numPr>
        <w:spacing w:after="120"/>
      </w:pPr>
      <w:r w:rsidRPr="007F3920">
        <w:t>Taha wh</w:t>
      </w:r>
      <w:r>
        <w:rPr>
          <w:rFonts w:cs="Calibri"/>
        </w:rPr>
        <w:t>ā</w:t>
      </w:r>
      <w:r w:rsidRPr="007F3920">
        <w:t xml:space="preserve">nau – Social well-being </w:t>
      </w:r>
    </w:p>
    <w:p w14:paraId="6A548A4B" w14:textId="70F66393" w:rsidR="00C86BB4" w:rsidRDefault="00635FA6" w:rsidP="00C86BB4">
      <w:pPr>
        <w:pStyle w:val="ListParagraph"/>
        <w:numPr>
          <w:ilvl w:val="0"/>
          <w:numId w:val="20"/>
        </w:numPr>
        <w:spacing w:after="120"/>
      </w:pPr>
      <w:r w:rsidRPr="007F3920">
        <w:t>Taha</w:t>
      </w:r>
      <w:r w:rsidRPr="00707173">
        <w:t xml:space="preserve"> </w:t>
      </w:r>
      <w:proofErr w:type="spellStart"/>
      <w:r w:rsidRPr="00707173">
        <w:t>wairua</w:t>
      </w:r>
      <w:proofErr w:type="spellEnd"/>
      <w:r w:rsidRPr="00707173">
        <w:t xml:space="preserve"> – Spiritual well-being</w:t>
      </w:r>
    </w:p>
    <w:p w14:paraId="681FD1BE" w14:textId="5949B3E2" w:rsidR="00635FA6" w:rsidRPr="00C86BB4" w:rsidRDefault="00C86BB4" w:rsidP="00C86BB4">
      <w:r>
        <w:br w:type="page"/>
      </w:r>
      <w:r w:rsidR="00635FA6" w:rsidRPr="004F71CE">
        <w:rPr>
          <w:b/>
          <w:bCs/>
        </w:rPr>
        <w:lastRenderedPageBreak/>
        <w:t>Cycling, design thinking and STEM</w:t>
      </w:r>
    </w:p>
    <w:p w14:paraId="4900CED1" w14:textId="77777777" w:rsidR="00635FA6" w:rsidRPr="007F3920" w:rsidRDefault="00635FA6" w:rsidP="00C86BB4">
      <w:pPr>
        <w:spacing w:after="120"/>
      </w:pPr>
      <w:r w:rsidRPr="007F3920">
        <w:t xml:space="preserve">Cycling creates many contexts for learning through STEM, integrating design thinking with: </w:t>
      </w:r>
    </w:p>
    <w:p w14:paraId="3F0B16E5" w14:textId="77777777" w:rsidR="00635FA6" w:rsidRPr="007F3920" w:rsidRDefault="00635FA6" w:rsidP="00C86BB4">
      <w:pPr>
        <w:pStyle w:val="ListParagraph"/>
        <w:numPr>
          <w:ilvl w:val="0"/>
          <w:numId w:val="21"/>
        </w:numPr>
        <w:spacing w:after="120"/>
      </w:pPr>
      <w:r w:rsidRPr="007F3920">
        <w:t>Science</w:t>
      </w:r>
    </w:p>
    <w:p w14:paraId="277A2968" w14:textId="77777777" w:rsidR="00635FA6" w:rsidRPr="007F3920" w:rsidRDefault="00635FA6" w:rsidP="00C86BB4">
      <w:pPr>
        <w:pStyle w:val="ListParagraph"/>
        <w:numPr>
          <w:ilvl w:val="0"/>
          <w:numId w:val="21"/>
        </w:numPr>
        <w:spacing w:after="120"/>
      </w:pPr>
      <w:r w:rsidRPr="007F3920">
        <w:t>Technology</w:t>
      </w:r>
    </w:p>
    <w:p w14:paraId="149348EF" w14:textId="77777777" w:rsidR="00635FA6" w:rsidRPr="007F3920" w:rsidRDefault="00635FA6" w:rsidP="00C86BB4">
      <w:pPr>
        <w:pStyle w:val="ListParagraph"/>
        <w:numPr>
          <w:ilvl w:val="0"/>
          <w:numId w:val="21"/>
        </w:numPr>
        <w:spacing w:after="120"/>
      </w:pPr>
      <w:r w:rsidRPr="007F3920">
        <w:t>Engineering</w:t>
      </w:r>
    </w:p>
    <w:p w14:paraId="7161BD9B" w14:textId="77777777" w:rsidR="00635FA6" w:rsidRPr="00B05935" w:rsidRDefault="00635FA6" w:rsidP="00C86BB4">
      <w:pPr>
        <w:pStyle w:val="ListParagraph"/>
        <w:numPr>
          <w:ilvl w:val="0"/>
          <w:numId w:val="21"/>
        </w:numPr>
        <w:spacing w:after="120"/>
      </w:pPr>
      <w:r w:rsidRPr="007F3920">
        <w:t>Maths</w:t>
      </w:r>
    </w:p>
    <w:p w14:paraId="07B63B27" w14:textId="77777777" w:rsidR="00635FA6" w:rsidRPr="00707173" w:rsidRDefault="00635FA6" w:rsidP="00C86BB4">
      <w:pPr>
        <w:spacing w:after="120"/>
      </w:pPr>
      <w:r w:rsidRPr="00707173">
        <w:t>For example, critical and creative thinking about:</w:t>
      </w:r>
    </w:p>
    <w:p w14:paraId="4EEDB4B0" w14:textId="77777777" w:rsidR="00635FA6" w:rsidRPr="007F3920" w:rsidRDefault="00635FA6" w:rsidP="00C86BB4">
      <w:pPr>
        <w:pStyle w:val="ListParagraph"/>
        <w:numPr>
          <w:ilvl w:val="0"/>
          <w:numId w:val="22"/>
        </w:numPr>
        <w:spacing w:after="120"/>
      </w:pPr>
      <w:r w:rsidRPr="007F3920">
        <w:t>Construction – building new bicycles and improving the performance of existing bicycles. Design history of bicycles</w:t>
      </w:r>
    </w:p>
    <w:p w14:paraId="1039B3F5" w14:textId="77777777" w:rsidR="00635FA6" w:rsidRPr="007F3920" w:rsidRDefault="00635FA6" w:rsidP="00C86BB4">
      <w:pPr>
        <w:pStyle w:val="ListParagraph"/>
        <w:numPr>
          <w:ilvl w:val="0"/>
          <w:numId w:val="22"/>
        </w:numPr>
        <w:spacing w:after="120"/>
      </w:pPr>
      <w:r w:rsidRPr="007F3920">
        <w:t>Machines – technology, cogs, wheels, gears, chains, pedals, brakes</w:t>
      </w:r>
    </w:p>
    <w:p w14:paraId="10B986B0" w14:textId="77777777" w:rsidR="00635FA6" w:rsidRPr="007F3920" w:rsidRDefault="00635FA6" w:rsidP="00C86BB4">
      <w:pPr>
        <w:pStyle w:val="ListParagraph"/>
        <w:numPr>
          <w:ilvl w:val="0"/>
          <w:numId w:val="22"/>
        </w:numPr>
        <w:spacing w:after="120"/>
      </w:pPr>
      <w:r w:rsidRPr="007F3920">
        <w:t>Movement – forces, distance, speed, direction, acceleration, deceleration, stationary, friction, air resistance</w:t>
      </w:r>
    </w:p>
    <w:p w14:paraId="3870C8C2" w14:textId="77777777" w:rsidR="00635FA6" w:rsidRPr="007F3920" w:rsidRDefault="00635FA6" w:rsidP="00C86BB4">
      <w:pPr>
        <w:pStyle w:val="ListParagraph"/>
        <w:numPr>
          <w:ilvl w:val="0"/>
          <w:numId w:val="22"/>
        </w:numPr>
        <w:spacing w:after="120"/>
      </w:pPr>
      <w:r w:rsidRPr="007F3920">
        <w:t>Mapping and position – roads and cycling routes, maps, pathways, bike lanes, designing and creating new routes</w:t>
      </w:r>
    </w:p>
    <w:p w14:paraId="59D28481" w14:textId="77777777" w:rsidR="00635FA6" w:rsidRPr="007F3920" w:rsidRDefault="00635FA6" w:rsidP="00C86BB4">
      <w:pPr>
        <w:pStyle w:val="ListParagraph"/>
        <w:numPr>
          <w:ilvl w:val="0"/>
          <w:numId w:val="22"/>
        </w:numPr>
        <w:spacing w:after="120"/>
      </w:pPr>
      <w:r w:rsidRPr="007F3920">
        <w:t>Designing an opportunity for cyclists to regularly maintain their cycles – pop up workshops</w:t>
      </w:r>
    </w:p>
    <w:p w14:paraId="7C323462" w14:textId="77777777" w:rsidR="00635FA6" w:rsidRPr="00707173" w:rsidRDefault="00635FA6" w:rsidP="00C86BB4">
      <w:pPr>
        <w:pStyle w:val="ListParagraph"/>
        <w:numPr>
          <w:ilvl w:val="0"/>
          <w:numId w:val="22"/>
        </w:numPr>
        <w:spacing w:after="120"/>
      </w:pPr>
      <w:r w:rsidRPr="007F3920">
        <w:t>Ethics of professional practice – design implications of sharing the roads with other road users (pedestrians, motorcyclists</w:t>
      </w:r>
      <w:r w:rsidRPr="00707173">
        <w:t>, drivers, truck drivers)</w:t>
      </w:r>
      <w:r>
        <w:t>,</w:t>
      </w:r>
      <w:r w:rsidRPr="00707173">
        <w:t xml:space="preserve"> cycle ways</w:t>
      </w:r>
      <w:r>
        <w:t>.</w:t>
      </w:r>
      <w:r w:rsidRPr="00707173">
        <w:t xml:space="preserve"> </w:t>
      </w:r>
    </w:p>
    <w:p w14:paraId="2D10868B" w14:textId="77777777" w:rsidR="00635FA6" w:rsidRPr="00707173" w:rsidRDefault="00635FA6" w:rsidP="00C86BB4">
      <w:pPr>
        <w:spacing w:after="120"/>
      </w:pPr>
    </w:p>
    <w:p w14:paraId="6E064E8C" w14:textId="77777777" w:rsidR="00635FA6" w:rsidRPr="00A6038A" w:rsidRDefault="00635FA6" w:rsidP="00C86BB4">
      <w:pPr>
        <w:spacing w:after="120"/>
        <w:rPr>
          <w:b/>
          <w:bCs/>
        </w:rPr>
      </w:pPr>
      <w:r w:rsidRPr="00A6038A">
        <w:rPr>
          <w:b/>
          <w:bCs/>
        </w:rPr>
        <w:t>Cycling and literacy and numeracy</w:t>
      </w:r>
    </w:p>
    <w:p w14:paraId="3A8C6EAA" w14:textId="77777777" w:rsidR="00635FA6" w:rsidRPr="00707173" w:rsidRDefault="00635FA6" w:rsidP="00C86BB4">
      <w:pPr>
        <w:spacing w:after="120"/>
      </w:pPr>
      <w:r w:rsidRPr="00707173">
        <w:t xml:space="preserve">Making meaning of language, symbols and text in the road code, fiction, non-fiction, poetry, multiliteracies, oral texts, visual texts including safety posters </w:t>
      </w:r>
      <w:r>
        <w:t>and so forth</w:t>
      </w:r>
      <w:r w:rsidRPr="00707173">
        <w:t xml:space="preserve">. </w:t>
      </w:r>
    </w:p>
    <w:p w14:paraId="387E53B7" w14:textId="77777777" w:rsidR="00635FA6" w:rsidRPr="00707173" w:rsidRDefault="00635FA6" w:rsidP="00C86BB4">
      <w:pPr>
        <w:spacing w:after="120"/>
      </w:pPr>
    </w:p>
    <w:p w14:paraId="615E69CC" w14:textId="77777777" w:rsidR="00635FA6" w:rsidRPr="00A6038A" w:rsidRDefault="00635FA6" w:rsidP="00C86BB4">
      <w:pPr>
        <w:spacing w:after="120"/>
        <w:rPr>
          <w:b/>
          <w:bCs/>
        </w:rPr>
      </w:pPr>
      <w:r w:rsidRPr="00A6038A">
        <w:rPr>
          <w:b/>
          <w:bCs/>
        </w:rPr>
        <w:t xml:space="preserve">Cycling and future focus </w:t>
      </w:r>
    </w:p>
    <w:p w14:paraId="6AEE7B65" w14:textId="77777777" w:rsidR="00635FA6" w:rsidRPr="00707173" w:rsidRDefault="00635FA6" w:rsidP="00C86BB4">
      <w:pPr>
        <w:spacing w:after="120"/>
      </w:pPr>
      <w:r w:rsidRPr="00707173">
        <w:t xml:space="preserve">Use critical and creative thinking to think about the role of cycling in the past, </w:t>
      </w:r>
      <w:proofErr w:type="gramStart"/>
      <w:r w:rsidRPr="00707173">
        <w:t>present</w:t>
      </w:r>
      <w:proofErr w:type="gramEnd"/>
      <w:r w:rsidRPr="00707173">
        <w:t xml:space="preserve"> and future of transport.  </w:t>
      </w:r>
    </w:p>
    <w:p w14:paraId="5A00B4D2" w14:textId="77777777" w:rsidR="00635FA6" w:rsidRPr="00707173" w:rsidRDefault="00635FA6" w:rsidP="00C86BB4">
      <w:pPr>
        <w:spacing w:after="120"/>
      </w:pPr>
    </w:p>
    <w:p w14:paraId="6825C21D" w14:textId="77777777" w:rsidR="00635FA6" w:rsidRPr="00A6038A" w:rsidRDefault="00635FA6" w:rsidP="00C86BB4">
      <w:pPr>
        <w:spacing w:after="120"/>
        <w:rPr>
          <w:b/>
          <w:bCs/>
        </w:rPr>
      </w:pPr>
      <w:r w:rsidRPr="00A6038A">
        <w:rPr>
          <w:b/>
          <w:bCs/>
        </w:rPr>
        <w:t>Connections</w:t>
      </w:r>
    </w:p>
    <w:p w14:paraId="6688184A" w14:textId="77777777" w:rsidR="00635FA6" w:rsidRPr="00707173" w:rsidRDefault="00635FA6" w:rsidP="00C86BB4">
      <w:pPr>
        <w:spacing w:after="120"/>
      </w:pPr>
      <w:r w:rsidRPr="00707173">
        <w:t xml:space="preserve">Many people, groups, government agencies and non-government organisations can support the teaching and learning activities outlined in the resource.  </w:t>
      </w:r>
    </w:p>
    <w:p w14:paraId="073C7709" w14:textId="77777777" w:rsidR="00C86BB4" w:rsidRDefault="00C86BB4" w:rsidP="00C86BB4">
      <w:pPr>
        <w:spacing w:after="120"/>
      </w:pPr>
    </w:p>
    <w:p w14:paraId="648BE1AD" w14:textId="75A99EC2" w:rsidR="00635FA6" w:rsidRDefault="00635FA6" w:rsidP="00C86BB4">
      <w:pPr>
        <w:spacing w:after="120"/>
      </w:pPr>
      <w:r w:rsidRPr="00707173">
        <w:t>N</w:t>
      </w:r>
      <w:r>
        <w:t>ote:</w:t>
      </w:r>
      <w:r w:rsidRPr="00707173">
        <w:t xml:space="preserve"> Be aware that these plans may involve the discussion of unsafe situations that cause serious injury. </w:t>
      </w:r>
      <w:r w:rsidRPr="008D036D">
        <w:rPr>
          <w:rFonts w:cstheme="minorHAnsi"/>
          <w:iCs/>
        </w:rPr>
        <w:t>It’s likely some students have first-hand experience of such issues. Discretion is advised</w:t>
      </w:r>
    </w:p>
    <w:p w14:paraId="655D9E95" w14:textId="26A37766" w:rsidR="00D634F2" w:rsidRDefault="00D634F2" w:rsidP="00C86BB4">
      <w:pPr>
        <w:spacing w:after="120"/>
      </w:pPr>
      <w:r>
        <w:br w:type="page"/>
      </w:r>
    </w:p>
    <w:p w14:paraId="5399BA2E" w14:textId="77777777" w:rsidR="00635FA6" w:rsidRDefault="00635FA6" w:rsidP="00C86BB4">
      <w:pPr>
        <w:pStyle w:val="Heading2"/>
        <w:spacing w:after="120"/>
      </w:pPr>
      <w:r w:rsidRPr="00707173">
        <w:lastRenderedPageBreak/>
        <w:t>How</w:t>
      </w:r>
      <w:r>
        <w:t xml:space="preserve"> </w:t>
      </w:r>
      <w:r w:rsidRPr="00707173">
        <w:t>teachers can use this BikeReady curriculum resource</w:t>
      </w:r>
    </w:p>
    <w:p w14:paraId="4B8860CF" w14:textId="77777777" w:rsidR="00635FA6" w:rsidRPr="00827A78" w:rsidRDefault="00635FA6" w:rsidP="00C86BB4">
      <w:pPr>
        <w:spacing w:after="120"/>
      </w:pPr>
    </w:p>
    <w:p w14:paraId="49F6C6D5" w14:textId="77777777" w:rsidR="00635FA6" w:rsidRDefault="00635FA6" w:rsidP="00C86BB4">
      <w:pPr>
        <w:spacing w:after="120"/>
      </w:pPr>
      <w:r w:rsidRPr="00707173">
        <w:t xml:space="preserve">All activities are designed for use by classroom teachers to deepen learning alongside student experiences in BikeReady Grade 1 cycle skills courses. </w:t>
      </w:r>
    </w:p>
    <w:p w14:paraId="1B36A6DB" w14:textId="77777777" w:rsidR="00635FA6" w:rsidRPr="00707173" w:rsidRDefault="00635FA6" w:rsidP="00C86BB4">
      <w:pPr>
        <w:spacing w:after="120"/>
        <w:rPr>
          <w:b/>
        </w:rPr>
      </w:pPr>
      <w:r w:rsidRPr="00707173">
        <w:t>Cycle skills courses are run by professional instructors who visit your school.</w:t>
      </w:r>
    </w:p>
    <w:p w14:paraId="1AABF25B" w14:textId="77777777" w:rsidR="00635FA6" w:rsidRPr="00707173" w:rsidRDefault="00635FA6" w:rsidP="00C86BB4">
      <w:pPr>
        <w:spacing w:after="120"/>
        <w:rPr>
          <w:b/>
        </w:rPr>
      </w:pPr>
      <w:r w:rsidRPr="00707173">
        <w:t>Th</w:t>
      </w:r>
      <w:r>
        <w:t>is</w:t>
      </w:r>
      <w:r w:rsidRPr="00707173">
        <w:t xml:space="preserve"> curriculum resource is not prescriptive. </w:t>
      </w:r>
      <w:r>
        <w:t>Use it</w:t>
      </w:r>
      <w:r w:rsidRPr="00707173">
        <w:t xml:space="preserve"> flexibly to support the school’s curriculum planning. </w:t>
      </w:r>
      <w:r>
        <w:t>You</w:t>
      </w:r>
      <w:r w:rsidRPr="00707173">
        <w:t xml:space="preserve"> can select as many or as few learning activities as suitable to match student interests, knowledge and learning needs. </w:t>
      </w:r>
    </w:p>
    <w:p w14:paraId="517D5BE2" w14:textId="51EEEDFC" w:rsidR="00635FA6" w:rsidRPr="00707173" w:rsidRDefault="00635FA6" w:rsidP="00C86BB4">
      <w:pPr>
        <w:spacing w:after="120"/>
      </w:pPr>
      <w:r w:rsidRPr="00707173">
        <w:t xml:space="preserve">The curriculum resource has </w:t>
      </w:r>
      <w:r w:rsidR="008C547E">
        <w:t>4</w:t>
      </w:r>
      <w:r w:rsidRPr="00707173">
        <w:t xml:space="preserve"> sections.</w:t>
      </w:r>
    </w:p>
    <w:p w14:paraId="513ACA3D" w14:textId="77777777" w:rsidR="00635FA6" w:rsidRPr="00707173" w:rsidRDefault="00635FA6" w:rsidP="00C86BB4">
      <w:pPr>
        <w:spacing w:after="120"/>
        <w:rPr>
          <w:b/>
        </w:rPr>
      </w:pPr>
    </w:p>
    <w:p w14:paraId="576D5788" w14:textId="77777777" w:rsidR="00635FA6" w:rsidRPr="00707173" w:rsidRDefault="00635FA6" w:rsidP="00C86BB4">
      <w:pPr>
        <w:spacing w:after="120"/>
        <w:rPr>
          <w:b/>
        </w:rPr>
      </w:pPr>
      <w:r w:rsidRPr="00707173">
        <w:rPr>
          <w:b/>
        </w:rPr>
        <w:t>Prior Knowledge – What do you know about having fun and safe riding on a bike?</w:t>
      </w:r>
    </w:p>
    <w:p w14:paraId="18C3E04A" w14:textId="77777777" w:rsidR="00635FA6" w:rsidRDefault="00635FA6" w:rsidP="00C86BB4">
      <w:pPr>
        <w:spacing w:after="120"/>
      </w:pPr>
      <w:r w:rsidRPr="00707173">
        <w:t>Classroom activities to determine students’ prior knowledge.</w:t>
      </w:r>
    </w:p>
    <w:p w14:paraId="2D802F3B" w14:textId="77777777" w:rsidR="00635FA6" w:rsidRPr="00707173" w:rsidRDefault="00635FA6" w:rsidP="00C86BB4">
      <w:pPr>
        <w:spacing w:after="120"/>
      </w:pPr>
      <w:r w:rsidRPr="00707173">
        <w:t>These activities can be used by the classroom teacher before cycle skills courses take place in the school. Optionally, teachers could share the results of classroom discussions with the instructors.</w:t>
      </w:r>
    </w:p>
    <w:p w14:paraId="29A0B4B0" w14:textId="77777777" w:rsidR="00635FA6" w:rsidRPr="00707173" w:rsidRDefault="00635FA6" w:rsidP="00C86BB4">
      <w:pPr>
        <w:spacing w:after="120"/>
      </w:pPr>
    </w:p>
    <w:p w14:paraId="15409E01" w14:textId="77777777" w:rsidR="00635FA6" w:rsidRPr="00707173" w:rsidRDefault="00635FA6" w:rsidP="00C86BB4">
      <w:pPr>
        <w:spacing w:after="120"/>
        <w:rPr>
          <w:b/>
        </w:rPr>
      </w:pPr>
      <w:r>
        <w:rPr>
          <w:b/>
        </w:rPr>
        <w:t>Lesson plans 1 to 6</w:t>
      </w:r>
      <w:r w:rsidRPr="00707173">
        <w:rPr>
          <w:b/>
        </w:rPr>
        <w:t xml:space="preserve"> – to support Grade 1 skills courses</w:t>
      </w:r>
    </w:p>
    <w:p w14:paraId="6AFA4C93" w14:textId="77777777" w:rsidR="00635FA6" w:rsidRPr="00707173" w:rsidRDefault="00635FA6" w:rsidP="00C86BB4">
      <w:pPr>
        <w:spacing w:after="120"/>
      </w:pPr>
      <w:r>
        <w:t>Six</w:t>
      </w:r>
      <w:r w:rsidRPr="00707173">
        <w:t xml:space="preserve"> NZ Curriculum aligned lessons that support and expand on the key skills students learn during a BikeReady Grade 1 cycle skills course. Classroom lessons would typically take place after professional instructors have taken students through the cycle skills course.</w:t>
      </w:r>
    </w:p>
    <w:p w14:paraId="1F5896CB" w14:textId="77777777" w:rsidR="00635FA6" w:rsidRPr="00707173" w:rsidRDefault="00635FA6" w:rsidP="00C86BB4">
      <w:pPr>
        <w:spacing w:after="120"/>
      </w:pPr>
    </w:p>
    <w:p w14:paraId="249DB919" w14:textId="77777777" w:rsidR="00635FA6" w:rsidRPr="00707173" w:rsidRDefault="00635FA6" w:rsidP="00C86BB4">
      <w:pPr>
        <w:spacing w:after="120"/>
        <w:rPr>
          <w:b/>
          <w:bCs/>
        </w:rPr>
      </w:pPr>
      <w:r w:rsidRPr="00707173">
        <w:rPr>
          <w:b/>
          <w:bCs/>
        </w:rPr>
        <w:t>Transfer – Student inquiry into challenges and opportunities for cyclists in the local community</w:t>
      </w:r>
    </w:p>
    <w:p w14:paraId="51D2B545" w14:textId="77777777" w:rsidR="00635FA6" w:rsidRPr="00707173" w:rsidRDefault="00635FA6" w:rsidP="00C86BB4">
      <w:pPr>
        <w:spacing w:after="120"/>
      </w:pPr>
      <w:r w:rsidRPr="00707173">
        <w:t>Extension activities for students to think critically and creatively about cyclists in the community.</w:t>
      </w:r>
      <w:r w:rsidRPr="00707173">
        <w:rPr>
          <w:i/>
        </w:rPr>
        <w:t xml:space="preserve">  </w:t>
      </w:r>
    </w:p>
    <w:p w14:paraId="1B80F2F5" w14:textId="77777777" w:rsidR="00635FA6" w:rsidRPr="00707173" w:rsidRDefault="00635FA6" w:rsidP="00C86BB4">
      <w:pPr>
        <w:spacing w:after="120"/>
      </w:pPr>
    </w:p>
    <w:p w14:paraId="3CF56125" w14:textId="77777777" w:rsidR="00635FA6" w:rsidRPr="00707173" w:rsidRDefault="00635FA6" w:rsidP="00C86BB4">
      <w:pPr>
        <w:spacing w:after="120"/>
        <w:rPr>
          <w:rStyle w:val="SubtleEmphasis"/>
        </w:rPr>
      </w:pPr>
      <w:r w:rsidRPr="00707173">
        <w:rPr>
          <w:rStyle w:val="SubtleEmphasis"/>
        </w:rPr>
        <w:t>Appendices</w:t>
      </w:r>
    </w:p>
    <w:p w14:paraId="0D1397F9" w14:textId="23644C3F" w:rsidR="00635FA6" w:rsidRPr="00707173" w:rsidRDefault="00635FA6" w:rsidP="00C86BB4">
      <w:pPr>
        <w:spacing w:after="120"/>
        <w:rPr>
          <w:rStyle w:val="SubtleEmphasis"/>
          <w:b w:val="0"/>
        </w:rPr>
      </w:pPr>
      <w:r>
        <w:rPr>
          <w:rStyle w:val="SubtleEmphasis"/>
          <w:b w:val="0"/>
        </w:rPr>
        <w:t>S</w:t>
      </w:r>
      <w:r w:rsidRPr="00707173">
        <w:rPr>
          <w:rStyle w:val="SubtleEmphasis"/>
          <w:b w:val="0"/>
        </w:rPr>
        <w:t>elf-assessment rubrics and example curriculum planning tables.</w:t>
      </w:r>
    </w:p>
    <w:p w14:paraId="43B9EC45" w14:textId="77777777" w:rsidR="00635FA6" w:rsidRPr="00D634F2" w:rsidRDefault="00635FA6" w:rsidP="00C86BB4">
      <w:pPr>
        <w:pStyle w:val="Heading1"/>
        <w:spacing w:after="120"/>
      </w:pPr>
      <w:r w:rsidRPr="00D634F2">
        <w:t>Structure of lesson plans</w:t>
      </w:r>
    </w:p>
    <w:p w14:paraId="68A1AA10" w14:textId="77777777" w:rsidR="00635FA6" w:rsidRDefault="00635FA6" w:rsidP="00C86BB4">
      <w:pPr>
        <w:spacing w:after="120"/>
        <w:rPr>
          <w:rStyle w:val="SubtleEmphasis"/>
          <w:b w:val="0"/>
        </w:rPr>
      </w:pPr>
      <w:r w:rsidRPr="00707173">
        <w:rPr>
          <w:rStyle w:val="SubtleEmphasis"/>
          <w:b w:val="0"/>
        </w:rPr>
        <w:t>Each lesson includes the following components.</w:t>
      </w:r>
    </w:p>
    <w:p w14:paraId="1D06125D" w14:textId="77777777" w:rsidR="00635FA6" w:rsidRDefault="00635FA6" w:rsidP="00C86BB4">
      <w:pPr>
        <w:pStyle w:val="Heading2"/>
        <w:spacing w:after="120"/>
      </w:pPr>
      <w:r>
        <w:t xml:space="preserve">Planning </w:t>
      </w:r>
    </w:p>
    <w:p w14:paraId="0CFB3881" w14:textId="77777777" w:rsidR="00635FA6" w:rsidRPr="00707173" w:rsidRDefault="00635FA6" w:rsidP="00C86BB4">
      <w:pPr>
        <w:pStyle w:val="Heading3"/>
        <w:spacing w:after="120"/>
      </w:pPr>
      <w:r w:rsidRPr="00707173">
        <w:t xml:space="preserve">Skills focus </w:t>
      </w:r>
    </w:p>
    <w:p w14:paraId="1CB3619E" w14:textId="77777777" w:rsidR="00635FA6" w:rsidRDefault="00635FA6" w:rsidP="00C86BB4">
      <w:pPr>
        <w:spacing w:after="120"/>
        <w:rPr>
          <w:rFonts w:asciiTheme="majorHAnsi" w:hAnsiTheme="majorHAnsi" w:cs="Calibri"/>
          <w:color w:val="000000"/>
          <w:szCs w:val="20"/>
        </w:rPr>
      </w:pPr>
      <w:r w:rsidRPr="00707173">
        <w:rPr>
          <w:rFonts w:asciiTheme="majorHAnsi" w:hAnsiTheme="majorHAnsi" w:cs="Calibri"/>
          <w:color w:val="000000"/>
          <w:szCs w:val="20"/>
        </w:rPr>
        <w:t>Identify focus of the lesson</w:t>
      </w:r>
    </w:p>
    <w:p w14:paraId="28B49915" w14:textId="77777777" w:rsidR="00635FA6" w:rsidRPr="00707173" w:rsidRDefault="00635FA6" w:rsidP="00C86BB4">
      <w:pPr>
        <w:pStyle w:val="Heading3"/>
        <w:spacing w:after="120"/>
      </w:pPr>
      <w:r w:rsidRPr="00707173">
        <w:t>Reflection on skills training session</w:t>
      </w:r>
    </w:p>
    <w:p w14:paraId="33617453" w14:textId="7E27AB0A" w:rsidR="003859EB" w:rsidRDefault="00635FA6" w:rsidP="00C86BB4">
      <w:pPr>
        <w:spacing w:after="120"/>
        <w:rPr>
          <w:rFonts w:asciiTheme="majorHAnsi" w:hAnsiTheme="majorHAnsi" w:cs="Calibri"/>
          <w:color w:val="000000"/>
          <w:szCs w:val="20"/>
        </w:rPr>
      </w:pPr>
      <w:r w:rsidRPr="00707173">
        <w:rPr>
          <w:rFonts w:asciiTheme="majorHAnsi" w:hAnsiTheme="majorHAnsi" w:cs="Calibri"/>
          <w:color w:val="000000"/>
          <w:szCs w:val="20"/>
        </w:rPr>
        <w:t>Class reflection on new learning in skills training session</w:t>
      </w:r>
    </w:p>
    <w:p w14:paraId="52D99F6F" w14:textId="77777777" w:rsidR="003859EB" w:rsidRDefault="003859EB">
      <w:pPr>
        <w:rPr>
          <w:rFonts w:asciiTheme="majorHAnsi" w:hAnsiTheme="majorHAnsi" w:cs="Calibri"/>
          <w:color w:val="000000"/>
          <w:szCs w:val="20"/>
        </w:rPr>
      </w:pPr>
      <w:r>
        <w:rPr>
          <w:rFonts w:asciiTheme="majorHAnsi" w:hAnsiTheme="majorHAnsi" w:cs="Calibri"/>
          <w:color w:val="000000"/>
          <w:szCs w:val="20"/>
        </w:rPr>
        <w:br w:type="page"/>
      </w:r>
    </w:p>
    <w:p w14:paraId="3CB868BF" w14:textId="77777777" w:rsidR="00635FA6" w:rsidRPr="00707173" w:rsidRDefault="00635FA6" w:rsidP="00C86BB4">
      <w:pPr>
        <w:pStyle w:val="Heading3"/>
        <w:spacing w:after="120"/>
      </w:pPr>
      <w:r w:rsidRPr="00707173">
        <w:lastRenderedPageBreak/>
        <w:t>Opportunities for community engagement</w:t>
      </w:r>
    </w:p>
    <w:p w14:paraId="09974400" w14:textId="77777777" w:rsidR="00635FA6" w:rsidRDefault="00635FA6" w:rsidP="00C86BB4">
      <w:pPr>
        <w:spacing w:after="120"/>
        <w:rPr>
          <w:rFonts w:asciiTheme="majorHAnsi" w:hAnsiTheme="majorHAnsi" w:cs="Calibri"/>
          <w:color w:val="000000"/>
          <w:szCs w:val="20"/>
        </w:rPr>
      </w:pPr>
      <w:r w:rsidRPr="00707173">
        <w:rPr>
          <w:rFonts w:asciiTheme="majorHAnsi" w:hAnsiTheme="majorHAnsi" w:cs="Calibri"/>
          <w:color w:val="000000"/>
          <w:szCs w:val="20"/>
        </w:rPr>
        <w:t>People in the local community who could be approached to support the new learning</w:t>
      </w:r>
    </w:p>
    <w:p w14:paraId="0B187AF6" w14:textId="77777777" w:rsidR="00635FA6" w:rsidRPr="00615166" w:rsidRDefault="00635FA6" w:rsidP="00C86BB4">
      <w:pPr>
        <w:pStyle w:val="Heading3"/>
        <w:spacing w:after="120"/>
      </w:pPr>
      <w:r w:rsidRPr="00615166">
        <w:t>Alignment to NZC learning areas</w:t>
      </w:r>
    </w:p>
    <w:p w14:paraId="798E05B3" w14:textId="6FD41B40" w:rsidR="00635FA6" w:rsidRPr="00615166" w:rsidRDefault="00635FA6" w:rsidP="00C86BB4">
      <w:pPr>
        <w:spacing w:after="120"/>
        <w:rPr>
          <w:b/>
          <w:iCs/>
        </w:rPr>
      </w:pPr>
      <w:r w:rsidRPr="00615166">
        <w:rPr>
          <w:iCs/>
        </w:rPr>
        <w:t>Refer to NZC Learning Areas Overview. Refer to the resource for Achievement Objectives and Learning Intentions (L1 to 4).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6"/>
        <w:gridCol w:w="1517"/>
        <w:gridCol w:w="342"/>
        <w:gridCol w:w="634"/>
        <w:gridCol w:w="9"/>
        <w:gridCol w:w="486"/>
        <w:gridCol w:w="771"/>
        <w:gridCol w:w="12"/>
        <w:gridCol w:w="817"/>
        <w:gridCol w:w="455"/>
        <w:gridCol w:w="58"/>
        <w:gridCol w:w="562"/>
        <w:gridCol w:w="391"/>
        <w:gridCol w:w="1480"/>
      </w:tblGrid>
      <w:tr w:rsidR="00635FA6" w:rsidRPr="00615166" w14:paraId="3C115A50" w14:textId="77777777" w:rsidTr="00827196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587D9B3D" w14:textId="77777777" w:rsidR="00635FA6" w:rsidRPr="00615166" w:rsidRDefault="00635FA6" w:rsidP="00C86BB4">
            <w:pPr>
              <w:spacing w:after="120"/>
              <w:rPr>
                <w:i/>
                <w:iCs/>
              </w:rPr>
            </w:pPr>
            <w:r w:rsidRPr="00615166">
              <w:rPr>
                <w:i/>
                <w:iCs/>
              </w:rPr>
              <w:t>English</w:t>
            </w:r>
          </w:p>
        </w:tc>
        <w:tc>
          <w:tcPr>
            <w:tcW w:w="38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4CB3" w14:textId="77777777" w:rsidR="00635FA6" w:rsidRPr="00615166" w:rsidRDefault="00635FA6" w:rsidP="00C86BB4">
            <w:pPr>
              <w:spacing w:after="120"/>
              <w:rPr>
                <w:i/>
                <w:iCs/>
              </w:rPr>
            </w:pPr>
            <w:r w:rsidRPr="00615166">
              <w:rPr>
                <w:i/>
                <w:iCs/>
              </w:rPr>
              <w:t xml:space="preserve">Listening, </w:t>
            </w:r>
            <w:proofErr w:type="gramStart"/>
            <w:r w:rsidRPr="00615166">
              <w:rPr>
                <w:i/>
                <w:iCs/>
              </w:rPr>
              <w:t>Reading</w:t>
            </w:r>
            <w:proofErr w:type="gramEnd"/>
            <w:r w:rsidRPr="00615166">
              <w:rPr>
                <w:i/>
                <w:iCs/>
              </w:rPr>
              <w:t xml:space="preserve"> and Viewing</w:t>
            </w:r>
          </w:p>
        </w:tc>
        <w:tc>
          <w:tcPr>
            <w:tcW w:w="38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04B31" w14:textId="77777777" w:rsidR="00635FA6" w:rsidRPr="00615166" w:rsidRDefault="00635FA6" w:rsidP="00C86BB4">
            <w:pPr>
              <w:spacing w:after="120"/>
              <w:rPr>
                <w:i/>
                <w:iCs/>
              </w:rPr>
            </w:pPr>
            <w:r w:rsidRPr="00615166">
              <w:rPr>
                <w:i/>
                <w:iCs/>
              </w:rPr>
              <w:t>Speaking, Writing and Presenting</w:t>
            </w:r>
          </w:p>
        </w:tc>
      </w:tr>
      <w:tr w:rsidR="00635FA6" w:rsidRPr="00615166" w14:paraId="0C2DE382" w14:textId="77777777" w:rsidTr="00827196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00C27BCB" w14:textId="77777777" w:rsidR="00635FA6" w:rsidRPr="00615166" w:rsidRDefault="00635FA6" w:rsidP="00C86BB4">
            <w:pPr>
              <w:spacing w:after="120"/>
              <w:rPr>
                <w:iCs/>
              </w:rPr>
            </w:pPr>
            <w:r w:rsidRPr="00615166">
              <w:rPr>
                <w:iCs/>
              </w:rPr>
              <w:t xml:space="preserve">The Arts </w:t>
            </w:r>
            <w:proofErr w:type="gramStart"/>
            <w:r w:rsidRPr="00615166">
              <w:rPr>
                <w:iCs/>
              </w:rPr>
              <w:t>–  Drama</w:t>
            </w:r>
            <w:proofErr w:type="gramEnd"/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3CE39" w14:textId="77777777" w:rsidR="00635FA6" w:rsidRPr="00615166" w:rsidRDefault="00635FA6" w:rsidP="00C86BB4">
            <w:pPr>
              <w:spacing w:after="120"/>
              <w:rPr>
                <w:iCs/>
              </w:rPr>
            </w:pPr>
            <w:r w:rsidRPr="00615166">
              <w:rPr>
                <w:iCs/>
              </w:rPr>
              <w:t>Understanding the Arts in contexts</w:t>
            </w:r>
          </w:p>
        </w:tc>
        <w:tc>
          <w:tcPr>
            <w:tcW w:w="1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B3261" w14:textId="77777777" w:rsidR="00635FA6" w:rsidRPr="00615166" w:rsidRDefault="00635FA6" w:rsidP="00C86BB4">
            <w:pPr>
              <w:spacing w:after="120"/>
              <w:rPr>
                <w:iCs/>
              </w:rPr>
            </w:pPr>
            <w:r w:rsidRPr="00615166">
              <w:rPr>
                <w:iCs/>
              </w:rPr>
              <w:t>Developing Practical Knowledge</w:t>
            </w:r>
          </w:p>
        </w:tc>
        <w:tc>
          <w:tcPr>
            <w:tcW w:w="1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89818" w14:textId="77777777" w:rsidR="00635FA6" w:rsidRPr="00615166" w:rsidRDefault="00635FA6" w:rsidP="00C86BB4">
            <w:pPr>
              <w:spacing w:after="120"/>
              <w:rPr>
                <w:iCs/>
              </w:rPr>
            </w:pPr>
            <w:r w:rsidRPr="00615166">
              <w:rPr>
                <w:iCs/>
              </w:rPr>
              <w:t>Developing Ideas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F96ED" w14:textId="77777777" w:rsidR="00635FA6" w:rsidRPr="00615166" w:rsidRDefault="00635FA6" w:rsidP="00C86BB4">
            <w:pPr>
              <w:spacing w:after="120"/>
              <w:rPr>
                <w:iCs/>
              </w:rPr>
            </w:pPr>
            <w:r w:rsidRPr="00615166">
              <w:rPr>
                <w:iCs/>
              </w:rPr>
              <w:t>Communicating and Interpreting</w:t>
            </w:r>
          </w:p>
        </w:tc>
      </w:tr>
      <w:tr w:rsidR="00635FA6" w:rsidRPr="00615166" w14:paraId="18B765E8" w14:textId="77777777" w:rsidTr="00827196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B9B2"/>
          </w:tcPr>
          <w:p w14:paraId="577DAACC" w14:textId="77777777" w:rsidR="00635FA6" w:rsidRPr="00615166" w:rsidRDefault="00635FA6" w:rsidP="00C86BB4">
            <w:pPr>
              <w:spacing w:after="120"/>
              <w:rPr>
                <w:iCs/>
              </w:rPr>
            </w:pPr>
            <w:r w:rsidRPr="00615166">
              <w:rPr>
                <w:iCs/>
              </w:rPr>
              <w:t>Health and Physical Education</w:t>
            </w:r>
          </w:p>
        </w:tc>
        <w:tc>
          <w:tcPr>
            <w:tcW w:w="3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E3346" w14:textId="77777777" w:rsidR="00635FA6" w:rsidRPr="00615166" w:rsidRDefault="00635FA6" w:rsidP="00C86BB4">
            <w:pPr>
              <w:spacing w:after="120"/>
              <w:rPr>
                <w:iCs/>
              </w:rPr>
            </w:pPr>
            <w:r w:rsidRPr="00615166">
              <w:rPr>
                <w:iCs/>
              </w:rPr>
              <w:t>Personal Health and Physical Development A – A3 Safety Management</w:t>
            </w:r>
          </w:p>
        </w:tc>
        <w:tc>
          <w:tcPr>
            <w:tcW w:w="38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1ABC5" w14:textId="77777777" w:rsidR="00635FA6" w:rsidRPr="00615166" w:rsidRDefault="00635FA6" w:rsidP="00C86BB4">
            <w:pPr>
              <w:spacing w:after="120"/>
              <w:rPr>
                <w:iCs/>
              </w:rPr>
            </w:pPr>
            <w:r w:rsidRPr="00615166">
              <w:rPr>
                <w:iCs/>
              </w:rPr>
              <w:t>Healthy Communities and Environments S – D2 Community Resources</w:t>
            </w:r>
          </w:p>
        </w:tc>
      </w:tr>
      <w:tr w:rsidR="00635FA6" w:rsidRPr="00615166" w14:paraId="6B8B3FF1" w14:textId="77777777" w:rsidTr="00827196">
        <w:trPr>
          <w:trHeight w:val="338"/>
        </w:trPr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ABC0"/>
          </w:tcPr>
          <w:p w14:paraId="4ECD37BE" w14:textId="77777777" w:rsidR="00635FA6" w:rsidRPr="00615166" w:rsidRDefault="00635FA6" w:rsidP="00C86BB4">
            <w:pPr>
              <w:spacing w:after="120"/>
              <w:rPr>
                <w:iCs/>
              </w:rPr>
            </w:pPr>
            <w:r w:rsidRPr="00615166">
              <w:rPr>
                <w:iCs/>
              </w:rPr>
              <w:t>Mathematics and Statistics</w:t>
            </w:r>
          </w:p>
          <w:p w14:paraId="31E05249" w14:textId="77777777" w:rsidR="00635FA6" w:rsidRPr="00615166" w:rsidRDefault="00635FA6" w:rsidP="00C86BB4">
            <w:pPr>
              <w:spacing w:after="120"/>
              <w:rPr>
                <w:iCs/>
              </w:rPr>
            </w:pPr>
          </w:p>
        </w:tc>
        <w:tc>
          <w:tcPr>
            <w:tcW w:w="77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8155" w14:textId="77777777" w:rsidR="00635FA6" w:rsidRPr="00615166" w:rsidRDefault="00635FA6" w:rsidP="00C86BB4">
            <w:pPr>
              <w:spacing w:after="120"/>
              <w:rPr>
                <w:i/>
                <w:iCs/>
              </w:rPr>
            </w:pPr>
            <w:r w:rsidRPr="00615166">
              <w:rPr>
                <w:i/>
                <w:iCs/>
              </w:rPr>
              <w:t>Geometry and Measurement</w:t>
            </w:r>
          </w:p>
        </w:tc>
      </w:tr>
      <w:tr w:rsidR="00635FA6" w:rsidRPr="00615166" w14:paraId="4CC6F9D0" w14:textId="77777777" w:rsidTr="00827196">
        <w:trPr>
          <w:trHeight w:val="338"/>
        </w:trPr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ABC0"/>
          </w:tcPr>
          <w:p w14:paraId="5820E4E1" w14:textId="77777777" w:rsidR="00635FA6" w:rsidRPr="00615166" w:rsidRDefault="00635FA6" w:rsidP="00C86BB4">
            <w:pPr>
              <w:spacing w:after="120"/>
              <w:rPr>
                <w:iCs/>
              </w:rPr>
            </w:pPr>
          </w:p>
        </w:tc>
        <w:tc>
          <w:tcPr>
            <w:tcW w:w="2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96DF9" w14:textId="77777777" w:rsidR="00635FA6" w:rsidRPr="00615166" w:rsidRDefault="00635FA6" w:rsidP="00C86BB4">
            <w:pPr>
              <w:spacing w:after="120"/>
              <w:rPr>
                <w:iCs/>
              </w:rPr>
            </w:pPr>
            <w:r w:rsidRPr="00615166">
              <w:rPr>
                <w:iCs/>
              </w:rPr>
              <w:t>Measurement</w:t>
            </w:r>
          </w:p>
        </w:tc>
        <w:tc>
          <w:tcPr>
            <w:tcW w:w="2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CA1F3" w14:textId="77777777" w:rsidR="00635FA6" w:rsidRPr="00615166" w:rsidRDefault="00635FA6" w:rsidP="00C86BB4">
            <w:pPr>
              <w:spacing w:after="120"/>
              <w:rPr>
                <w:iCs/>
              </w:rPr>
            </w:pPr>
            <w:r w:rsidRPr="00615166">
              <w:rPr>
                <w:iCs/>
              </w:rPr>
              <w:t>Shape</w:t>
            </w:r>
          </w:p>
        </w:tc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E5D6" w14:textId="77777777" w:rsidR="00635FA6" w:rsidRPr="00615166" w:rsidRDefault="00635FA6" w:rsidP="00C86BB4">
            <w:pPr>
              <w:spacing w:after="120"/>
              <w:rPr>
                <w:iCs/>
              </w:rPr>
            </w:pPr>
            <w:r w:rsidRPr="00615166">
              <w:rPr>
                <w:iCs/>
              </w:rPr>
              <w:t>Position and orientation</w:t>
            </w:r>
          </w:p>
        </w:tc>
      </w:tr>
      <w:tr w:rsidR="00635FA6" w:rsidRPr="00615166" w14:paraId="724D7AFF" w14:textId="77777777" w:rsidTr="00827196">
        <w:trPr>
          <w:trHeight w:val="338"/>
        </w:trPr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8D7C"/>
          </w:tcPr>
          <w:p w14:paraId="086A8DD0" w14:textId="77777777" w:rsidR="00635FA6" w:rsidRPr="00615166" w:rsidRDefault="00635FA6" w:rsidP="00C86BB4">
            <w:pPr>
              <w:spacing w:after="120"/>
              <w:rPr>
                <w:iCs/>
              </w:rPr>
            </w:pPr>
            <w:r w:rsidRPr="00615166">
              <w:rPr>
                <w:iCs/>
              </w:rPr>
              <w:t>Science</w:t>
            </w:r>
          </w:p>
          <w:p w14:paraId="7ACF1197" w14:textId="77777777" w:rsidR="00635FA6" w:rsidRPr="00615166" w:rsidRDefault="00635FA6" w:rsidP="00C86BB4">
            <w:pPr>
              <w:spacing w:after="120"/>
              <w:rPr>
                <w:iCs/>
              </w:rPr>
            </w:pPr>
          </w:p>
          <w:p w14:paraId="74E2D46C" w14:textId="77777777" w:rsidR="00635FA6" w:rsidRPr="00615166" w:rsidRDefault="00635FA6" w:rsidP="00C86BB4">
            <w:pPr>
              <w:spacing w:after="120"/>
              <w:rPr>
                <w:iCs/>
              </w:rPr>
            </w:pPr>
          </w:p>
        </w:tc>
        <w:tc>
          <w:tcPr>
            <w:tcW w:w="6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C3C21" w14:textId="77777777" w:rsidR="00635FA6" w:rsidRPr="00615166" w:rsidRDefault="00635FA6" w:rsidP="00C86BB4">
            <w:pPr>
              <w:spacing w:after="120"/>
              <w:rPr>
                <w:i/>
                <w:iCs/>
              </w:rPr>
            </w:pPr>
            <w:r w:rsidRPr="00615166">
              <w:rPr>
                <w:i/>
                <w:iCs/>
              </w:rPr>
              <w:t>Nature of Science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B926F" w14:textId="77777777" w:rsidR="00635FA6" w:rsidRPr="00615166" w:rsidRDefault="00635FA6" w:rsidP="00C86BB4">
            <w:pPr>
              <w:spacing w:after="120"/>
              <w:rPr>
                <w:iCs/>
              </w:rPr>
            </w:pPr>
            <w:r w:rsidRPr="00615166">
              <w:rPr>
                <w:iCs/>
              </w:rPr>
              <w:t>Physical World</w:t>
            </w:r>
          </w:p>
        </w:tc>
      </w:tr>
      <w:tr w:rsidR="00635FA6" w:rsidRPr="00615166" w14:paraId="0DFF81F6" w14:textId="77777777" w:rsidTr="00827196">
        <w:trPr>
          <w:trHeight w:val="338"/>
        </w:trPr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8D7C"/>
          </w:tcPr>
          <w:p w14:paraId="21747E34" w14:textId="77777777" w:rsidR="00635FA6" w:rsidRPr="00615166" w:rsidRDefault="00635FA6" w:rsidP="00C86BB4">
            <w:pPr>
              <w:spacing w:after="120"/>
              <w:rPr>
                <w:iCs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A4438" w14:textId="77777777" w:rsidR="00635FA6" w:rsidRPr="00615166" w:rsidRDefault="00635FA6" w:rsidP="00C86BB4">
            <w:pPr>
              <w:spacing w:after="120"/>
              <w:rPr>
                <w:iCs/>
              </w:rPr>
            </w:pPr>
            <w:r w:rsidRPr="00615166">
              <w:rPr>
                <w:iCs/>
              </w:rPr>
              <w:t>Understanding about science</w:t>
            </w:r>
          </w:p>
        </w:tc>
        <w:tc>
          <w:tcPr>
            <w:tcW w:w="1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7DC14" w14:textId="77777777" w:rsidR="00635FA6" w:rsidRPr="00615166" w:rsidRDefault="00635FA6" w:rsidP="00C86BB4">
            <w:pPr>
              <w:spacing w:after="120"/>
              <w:rPr>
                <w:iCs/>
              </w:rPr>
            </w:pPr>
            <w:r w:rsidRPr="00615166">
              <w:rPr>
                <w:iCs/>
              </w:rPr>
              <w:t>Investigating science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2CCE5" w14:textId="77777777" w:rsidR="00635FA6" w:rsidRPr="00615166" w:rsidRDefault="00635FA6" w:rsidP="00C86BB4">
            <w:pPr>
              <w:spacing w:after="120"/>
              <w:rPr>
                <w:iCs/>
              </w:rPr>
            </w:pPr>
            <w:r w:rsidRPr="00615166">
              <w:rPr>
                <w:iCs/>
              </w:rPr>
              <w:t>Communicating in science</w:t>
            </w:r>
          </w:p>
        </w:tc>
        <w:tc>
          <w:tcPr>
            <w:tcW w:w="1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6108" w14:textId="77777777" w:rsidR="00635FA6" w:rsidRPr="00615166" w:rsidRDefault="00635FA6" w:rsidP="00C86BB4">
            <w:pPr>
              <w:spacing w:after="120"/>
              <w:rPr>
                <w:iCs/>
              </w:rPr>
            </w:pPr>
            <w:r w:rsidRPr="00615166">
              <w:rPr>
                <w:iCs/>
              </w:rPr>
              <w:t>Participating and contributing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642DA" w14:textId="77777777" w:rsidR="00635FA6" w:rsidRPr="00615166" w:rsidRDefault="00635FA6" w:rsidP="00C86BB4">
            <w:pPr>
              <w:spacing w:after="120"/>
              <w:rPr>
                <w:iCs/>
              </w:rPr>
            </w:pPr>
            <w:r w:rsidRPr="00615166">
              <w:rPr>
                <w:iCs/>
              </w:rPr>
              <w:t>Physical inquiry and physics concepts</w:t>
            </w:r>
          </w:p>
        </w:tc>
      </w:tr>
      <w:tr w:rsidR="00635FA6" w:rsidRPr="00615166" w14:paraId="3CFCB825" w14:textId="77777777" w:rsidTr="00827196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67A4"/>
          </w:tcPr>
          <w:p w14:paraId="1E2968E6" w14:textId="77777777" w:rsidR="00635FA6" w:rsidRPr="00615166" w:rsidRDefault="00635FA6" w:rsidP="00C86BB4">
            <w:pPr>
              <w:spacing w:after="120"/>
              <w:rPr>
                <w:iCs/>
              </w:rPr>
            </w:pPr>
            <w:r w:rsidRPr="00615166">
              <w:rPr>
                <w:iCs/>
              </w:rPr>
              <w:t>Social Sciences</w:t>
            </w:r>
          </w:p>
          <w:p w14:paraId="35AA11AD" w14:textId="77777777" w:rsidR="00635FA6" w:rsidRPr="00615166" w:rsidRDefault="00635FA6" w:rsidP="00C86BB4">
            <w:pPr>
              <w:spacing w:after="120"/>
              <w:rPr>
                <w:iCs/>
              </w:rPr>
            </w:pP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4F6AF" w14:textId="77777777" w:rsidR="00635FA6" w:rsidRPr="00615166" w:rsidRDefault="00635FA6" w:rsidP="00C86BB4">
            <w:pPr>
              <w:spacing w:after="120"/>
              <w:rPr>
                <w:iCs/>
              </w:rPr>
            </w:pPr>
            <w:r w:rsidRPr="00615166">
              <w:rPr>
                <w:iCs/>
              </w:rPr>
              <w:t>Identity, Culture and Organisation</w:t>
            </w:r>
          </w:p>
        </w:tc>
        <w:tc>
          <w:tcPr>
            <w:tcW w:w="1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87370" w14:textId="77777777" w:rsidR="00635FA6" w:rsidRPr="00615166" w:rsidRDefault="00635FA6" w:rsidP="00C86BB4">
            <w:pPr>
              <w:spacing w:after="120"/>
              <w:rPr>
                <w:iCs/>
              </w:rPr>
            </w:pPr>
            <w:r w:rsidRPr="00615166">
              <w:rPr>
                <w:iCs/>
              </w:rPr>
              <w:t>Place and Environment</w:t>
            </w:r>
          </w:p>
        </w:tc>
        <w:tc>
          <w:tcPr>
            <w:tcW w:w="1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15DB1" w14:textId="77777777" w:rsidR="00635FA6" w:rsidRPr="00615166" w:rsidRDefault="00635FA6" w:rsidP="00C86BB4">
            <w:pPr>
              <w:spacing w:after="120"/>
              <w:rPr>
                <w:iCs/>
              </w:rPr>
            </w:pPr>
            <w:r w:rsidRPr="00615166">
              <w:rPr>
                <w:iCs/>
              </w:rPr>
              <w:t>Continuity and Change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40627" w14:textId="77777777" w:rsidR="00635FA6" w:rsidRPr="00615166" w:rsidRDefault="00635FA6" w:rsidP="00C86BB4">
            <w:pPr>
              <w:spacing w:after="120"/>
              <w:rPr>
                <w:iCs/>
              </w:rPr>
            </w:pPr>
            <w:r w:rsidRPr="00615166">
              <w:rPr>
                <w:iCs/>
              </w:rPr>
              <w:t>The Economic World</w:t>
            </w:r>
          </w:p>
        </w:tc>
      </w:tr>
      <w:tr w:rsidR="00635FA6" w:rsidRPr="00615166" w14:paraId="56D1C4B4" w14:textId="77777777" w:rsidTr="00827196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</w:tcPr>
          <w:p w14:paraId="46314333" w14:textId="77777777" w:rsidR="00635FA6" w:rsidRPr="00615166" w:rsidRDefault="00635FA6" w:rsidP="00C86BB4">
            <w:pPr>
              <w:spacing w:after="120"/>
              <w:rPr>
                <w:iCs/>
              </w:rPr>
            </w:pPr>
            <w:r w:rsidRPr="00615166">
              <w:rPr>
                <w:iCs/>
              </w:rPr>
              <w:t>Technology</w:t>
            </w:r>
          </w:p>
        </w:tc>
        <w:tc>
          <w:tcPr>
            <w:tcW w:w="2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BDA9C" w14:textId="77777777" w:rsidR="00635FA6" w:rsidRPr="00615166" w:rsidRDefault="00635FA6" w:rsidP="00C86BB4">
            <w:pPr>
              <w:spacing w:after="120"/>
              <w:rPr>
                <w:iCs/>
              </w:rPr>
            </w:pPr>
            <w:r w:rsidRPr="00615166">
              <w:rPr>
                <w:iCs/>
              </w:rPr>
              <w:t>Technological Practice</w:t>
            </w:r>
          </w:p>
        </w:tc>
        <w:tc>
          <w:tcPr>
            <w:tcW w:w="2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E7FC4" w14:textId="77777777" w:rsidR="00635FA6" w:rsidRPr="00615166" w:rsidRDefault="00635FA6" w:rsidP="00C86BB4">
            <w:pPr>
              <w:spacing w:after="120"/>
              <w:rPr>
                <w:iCs/>
              </w:rPr>
            </w:pPr>
            <w:r w:rsidRPr="00615166">
              <w:rPr>
                <w:iCs/>
              </w:rPr>
              <w:t>Technological Knowledge</w:t>
            </w:r>
          </w:p>
        </w:tc>
        <w:tc>
          <w:tcPr>
            <w:tcW w:w="2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86E07" w14:textId="77777777" w:rsidR="00635FA6" w:rsidRPr="00615166" w:rsidRDefault="00635FA6" w:rsidP="00C86BB4">
            <w:pPr>
              <w:spacing w:after="120"/>
              <w:rPr>
                <w:iCs/>
              </w:rPr>
            </w:pPr>
            <w:r w:rsidRPr="00615166">
              <w:rPr>
                <w:iCs/>
              </w:rPr>
              <w:t xml:space="preserve">Nature of Technology </w:t>
            </w:r>
          </w:p>
        </w:tc>
      </w:tr>
    </w:tbl>
    <w:p w14:paraId="680B0ED1" w14:textId="77777777" w:rsidR="003859EB" w:rsidRDefault="003859EB" w:rsidP="003859EB"/>
    <w:p w14:paraId="48741624" w14:textId="0559FB51" w:rsidR="00635FA6" w:rsidRPr="00707173" w:rsidRDefault="00635FA6" w:rsidP="00C86BB4">
      <w:pPr>
        <w:pStyle w:val="Heading2"/>
        <w:spacing w:after="120"/>
      </w:pPr>
      <w:r w:rsidRPr="00707173">
        <w:t xml:space="preserve">Classroom activities </w:t>
      </w:r>
    </w:p>
    <w:p w14:paraId="28823A5F" w14:textId="77777777" w:rsidR="00635FA6" w:rsidRDefault="00635FA6" w:rsidP="00C86BB4">
      <w:pPr>
        <w:spacing w:after="120"/>
        <w:rPr>
          <w:rFonts w:asciiTheme="majorHAnsi" w:hAnsiTheme="majorHAnsi" w:cs="Calibri"/>
          <w:color w:val="000000"/>
          <w:szCs w:val="20"/>
        </w:rPr>
      </w:pPr>
      <w:r w:rsidRPr="00707173">
        <w:rPr>
          <w:rFonts w:asciiTheme="majorHAnsi" w:hAnsiTheme="majorHAnsi" w:cs="Calibri"/>
          <w:color w:val="000000"/>
          <w:szCs w:val="20"/>
        </w:rPr>
        <w:t>Learning activities are designed to support surface to deep understanding associated with each cycle skills lesson. Each is aligned to different NZC Learning Areas – see above.</w:t>
      </w:r>
    </w:p>
    <w:p w14:paraId="496A12A4" w14:textId="77777777" w:rsidR="003859EB" w:rsidRDefault="003859EB" w:rsidP="003859EB"/>
    <w:p w14:paraId="27061971" w14:textId="59CDDB7C" w:rsidR="00635FA6" w:rsidRDefault="00635FA6" w:rsidP="00C86BB4">
      <w:pPr>
        <w:pStyle w:val="Heading2"/>
        <w:spacing w:after="120"/>
      </w:pPr>
      <w:r>
        <w:t>Wrap Up</w:t>
      </w:r>
    </w:p>
    <w:p w14:paraId="300AD01B" w14:textId="77777777" w:rsidR="00635FA6" w:rsidRDefault="00635FA6" w:rsidP="00C86BB4">
      <w:pPr>
        <w:pStyle w:val="Heading3"/>
        <w:spacing w:after="120"/>
        <w:rPr>
          <w:rStyle w:val="SubtleEmphasis"/>
        </w:rPr>
      </w:pPr>
      <w:r w:rsidRPr="00707173">
        <w:t>Session reflection</w:t>
      </w:r>
    </w:p>
    <w:p w14:paraId="29DE5D4C" w14:textId="77777777" w:rsidR="00635FA6" w:rsidRPr="00707173" w:rsidRDefault="00635FA6" w:rsidP="00C86BB4">
      <w:pPr>
        <w:pStyle w:val="Heading3"/>
        <w:spacing w:after="120"/>
      </w:pPr>
      <w:r w:rsidRPr="009D5C46">
        <w:t>Key competency self-assessment rubric</w:t>
      </w:r>
    </w:p>
    <w:p w14:paraId="6B4F620E" w14:textId="77777777" w:rsidR="00D228DF" w:rsidRDefault="00D228DF" w:rsidP="00C86BB4">
      <w:pPr>
        <w:spacing w:after="120"/>
      </w:pPr>
    </w:p>
    <w:sectPr w:rsidR="00D228DF" w:rsidSect="007C5E57">
      <w:headerReference w:type="default" r:id="rId9"/>
      <w:footerReference w:type="even" r:id="rId10"/>
      <w:footerReference w:type="default" r:id="rId11"/>
      <w:footerReference w:type="first" r:id="rId12"/>
      <w:pgSz w:w="11900" w:h="16840" w:code="9"/>
      <w:pgMar w:top="1701" w:right="1440" w:bottom="1701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265E5" w14:textId="77777777" w:rsidR="005310C0" w:rsidRDefault="005310C0" w:rsidP="003F6EDA">
      <w:r>
        <w:separator/>
      </w:r>
    </w:p>
  </w:endnote>
  <w:endnote w:type="continuationSeparator" w:id="0">
    <w:p w14:paraId="6294AE5D" w14:textId="77777777" w:rsidR="005310C0" w:rsidRDefault="005310C0" w:rsidP="003F6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68D50" w14:textId="77777777" w:rsidR="00E42B11" w:rsidRDefault="00E42B11" w:rsidP="006E79A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881200" w14:textId="77777777" w:rsidR="00E42B11" w:rsidRDefault="00E42B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3292F" w14:textId="77777777" w:rsidR="00051157" w:rsidRPr="00B557DE" w:rsidRDefault="00DB3B0E" w:rsidP="007C5E57">
    <w:pPr>
      <w:pStyle w:val="Footer"/>
      <w:pBdr>
        <w:top w:val="single" w:sz="4" w:space="1" w:color="A6A6A6" w:themeColor="background1" w:themeShade="A6"/>
      </w:pBdr>
      <w:tabs>
        <w:tab w:val="clear" w:pos="8640"/>
        <w:tab w:val="right" w:pos="9000"/>
      </w:tabs>
      <w:ind w:right="20"/>
      <w:rPr>
        <w:sz w:val="16"/>
        <w:szCs w:val="16"/>
      </w:rPr>
    </w:pPr>
    <w:r>
      <w:rPr>
        <w:noProof/>
      </w:rPr>
      <w:drawing>
        <wp:inline distT="0" distB="0" distL="0" distR="0" wp14:anchorId="68369DC7" wp14:editId="124FD1C2">
          <wp:extent cx="1128730" cy="350875"/>
          <wp:effectExtent l="0" t="0" r="635" b="0"/>
          <wp:docPr id="7" name="Picture 7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Waka-Kotahi_RGB_BLU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8730" cy="350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51157" w:rsidRPr="00B557DE">
      <w:rPr>
        <w:sz w:val="16"/>
        <w:szCs w:val="16"/>
      </w:rPr>
      <w:tab/>
    </w:r>
    <w:r w:rsidR="007C5E57">
      <w:rPr>
        <w:sz w:val="16"/>
        <w:szCs w:val="16"/>
      </w:rPr>
      <w:fldChar w:fldCharType="begin"/>
    </w:r>
    <w:r w:rsidR="007C5E57">
      <w:rPr>
        <w:sz w:val="16"/>
        <w:szCs w:val="16"/>
      </w:rPr>
      <w:instrText xml:space="preserve"> PAGE  \* Arabic  \* MERGEFORMAT </w:instrText>
    </w:r>
    <w:r w:rsidR="007C5E57">
      <w:rPr>
        <w:sz w:val="16"/>
        <w:szCs w:val="16"/>
      </w:rPr>
      <w:fldChar w:fldCharType="separate"/>
    </w:r>
    <w:r w:rsidR="008A28D0">
      <w:rPr>
        <w:noProof/>
        <w:sz w:val="16"/>
        <w:szCs w:val="16"/>
      </w:rPr>
      <w:t>1</w:t>
    </w:r>
    <w:r w:rsidR="007C5E57">
      <w:rPr>
        <w:sz w:val="16"/>
        <w:szCs w:val="16"/>
      </w:rPr>
      <w:fldChar w:fldCharType="end"/>
    </w:r>
    <w:r w:rsidR="007C5E57">
      <w:rPr>
        <w:sz w:val="16"/>
        <w:szCs w:val="16"/>
      </w:rPr>
      <w:tab/>
    </w:r>
    <w:r>
      <w:rPr>
        <w:noProof/>
      </w:rPr>
      <w:drawing>
        <wp:inline distT="0" distB="0" distL="0" distR="0" wp14:anchorId="1B2EB9A0" wp14:editId="6A93E0CD">
          <wp:extent cx="786809" cy="296842"/>
          <wp:effectExtent l="0" t="0" r="0" b="8255"/>
          <wp:docPr id="3" name="Picture 3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ZGovt-logo-compact-wordmark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12142" cy="30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6C99E" w14:textId="77777777" w:rsidR="00A6688F" w:rsidRDefault="00A6688F" w:rsidP="00A6688F">
    <w:pPr>
      <w:pStyle w:val="Footer"/>
      <w:ind w:left="-567"/>
    </w:pPr>
    <w:r>
      <w:rPr>
        <w:noProof/>
        <w:lang w:eastAsia="en-NZ"/>
      </w:rPr>
      <w:drawing>
        <wp:anchor distT="0" distB="0" distL="114300" distR="114300" simplePos="0" relativeHeight="251658240" behindDoc="1" locked="0" layoutInCell="1" allowOverlap="1" wp14:anchorId="462402B9" wp14:editId="6E893C69">
          <wp:simplePos x="0" y="0"/>
          <wp:positionH relativeFrom="margin">
            <wp:align>center</wp:align>
          </wp:positionH>
          <wp:positionV relativeFrom="paragraph">
            <wp:posOffset>-1374775</wp:posOffset>
          </wp:positionV>
          <wp:extent cx="6645179" cy="1382400"/>
          <wp:effectExtent l="0" t="0" r="3810" b="8255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SWord templates_title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179" cy="138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04699" w14:textId="77777777" w:rsidR="005310C0" w:rsidRDefault="005310C0" w:rsidP="003F6EDA">
      <w:r>
        <w:separator/>
      </w:r>
    </w:p>
  </w:footnote>
  <w:footnote w:type="continuationSeparator" w:id="0">
    <w:p w14:paraId="336FC26D" w14:textId="77777777" w:rsidR="005310C0" w:rsidRDefault="005310C0" w:rsidP="003F6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39475" w14:textId="77777777" w:rsidR="002947D7" w:rsidRDefault="00822E75" w:rsidP="007C5E57">
    <w:pPr>
      <w:pStyle w:val="Header"/>
      <w:tabs>
        <w:tab w:val="clear" w:pos="8640"/>
        <w:tab w:val="right" w:pos="8931"/>
      </w:tabs>
    </w:pPr>
    <w:r>
      <w:rPr>
        <w:noProof/>
        <w:lang w:eastAsia="en-NZ"/>
      </w:rPr>
      <w:drawing>
        <wp:anchor distT="0" distB="0" distL="114300" distR="114300" simplePos="0" relativeHeight="251659264" behindDoc="1" locked="0" layoutInCell="1" allowOverlap="1" wp14:anchorId="0938AE35" wp14:editId="5E7FCF0A">
          <wp:simplePos x="0" y="0"/>
          <wp:positionH relativeFrom="margin">
            <wp:align>center</wp:align>
          </wp:positionH>
          <wp:positionV relativeFrom="paragraph">
            <wp:posOffset>2944</wp:posOffset>
          </wp:positionV>
          <wp:extent cx="6921500" cy="487045"/>
          <wp:effectExtent l="0" t="0" r="0" b="825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keReadyWord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1500" cy="487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01E86FA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167259E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3CB0BB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488170C"/>
    <w:multiLevelType w:val="hybridMultilevel"/>
    <w:tmpl w:val="AC82A90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E25C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7123F7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7E5592B"/>
    <w:multiLevelType w:val="hybridMultilevel"/>
    <w:tmpl w:val="5908E98C"/>
    <w:lvl w:ilvl="0" w:tplc="401CCED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8B6AB1"/>
    <w:multiLevelType w:val="hybridMultilevel"/>
    <w:tmpl w:val="8736C03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D94969"/>
    <w:multiLevelType w:val="multilevel"/>
    <w:tmpl w:val="4F9EDE70"/>
    <w:styleLink w:val="NumberList1"/>
    <w:lvl w:ilvl="0">
      <w:start w:val="1"/>
      <w:numFmt w:val="decimal"/>
      <w:lvlText w:val="%1."/>
      <w:lvlJc w:val="left"/>
      <w:pPr>
        <w:ind w:left="1080" w:hanging="720"/>
      </w:pPr>
      <w:rPr>
        <w:rFonts w:ascii="Calibri" w:hAnsi="Calibri" w:hint="default"/>
        <w:b w:val="0"/>
        <w:i w:val="0"/>
        <w:color w:val="262626" w:themeColor="text1" w:themeTint="D9"/>
        <w:sz w:val="2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ascii="Calibri" w:hAnsi="Calibri" w:hint="default"/>
        <w:b w:val="0"/>
        <w:i w:val="0"/>
        <w:sz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Calibri" w:hAnsi="Calibri" w:hint="default"/>
        <w:b w:val="0"/>
        <w:i w:val="0"/>
        <w:sz w:val="2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9" w15:restartNumberingAfterBreak="0">
    <w:nsid w:val="300456B1"/>
    <w:multiLevelType w:val="multilevel"/>
    <w:tmpl w:val="F776065E"/>
    <w:lvl w:ilvl="0">
      <w:start w:val="1"/>
      <w:numFmt w:val="decimal"/>
      <w:pStyle w:val="NumberBullet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1F94EBF"/>
    <w:multiLevelType w:val="multilevel"/>
    <w:tmpl w:val="DA0CA2B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1" w15:restartNumberingAfterBreak="0">
    <w:nsid w:val="34F55DC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52B74B5"/>
    <w:multiLevelType w:val="hybridMultilevel"/>
    <w:tmpl w:val="26A011B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7C3670"/>
    <w:multiLevelType w:val="multilevel"/>
    <w:tmpl w:val="29AE71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70186B"/>
    <w:multiLevelType w:val="multilevel"/>
    <w:tmpl w:val="CF1ACB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77A1A4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AED1107"/>
    <w:multiLevelType w:val="multilevel"/>
    <w:tmpl w:val="20C47A08"/>
    <w:styleLink w:val="Style2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7" w15:restartNumberingAfterBreak="0">
    <w:nsid w:val="5BF76780"/>
    <w:multiLevelType w:val="multilevel"/>
    <w:tmpl w:val="0804E5DE"/>
    <w:lvl w:ilvl="0">
      <w:start w:val="1"/>
      <w:numFmt w:val="decimal"/>
      <w:pStyle w:val="ListNumber1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8" w15:restartNumberingAfterBreak="0">
    <w:nsid w:val="627E54FF"/>
    <w:multiLevelType w:val="multilevel"/>
    <w:tmpl w:val="161C9A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6D7073A"/>
    <w:multiLevelType w:val="multilevel"/>
    <w:tmpl w:val="0804E5DE"/>
    <w:styleLink w:val="Style1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0" w15:restartNumberingAfterBreak="0">
    <w:nsid w:val="6DA53494"/>
    <w:multiLevelType w:val="multilevel"/>
    <w:tmpl w:val="83002852"/>
    <w:lvl w:ilvl="0">
      <w:start w:val="1"/>
      <w:numFmt w:val="decimal"/>
      <w:pStyle w:val="NumberBullet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1" w15:restartNumberingAfterBreak="0">
    <w:nsid w:val="6EBD219D"/>
    <w:multiLevelType w:val="hybridMultilevel"/>
    <w:tmpl w:val="57CA4B5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6933849">
    <w:abstractNumId w:val="6"/>
  </w:num>
  <w:num w:numId="2" w16cid:durableId="1303190118">
    <w:abstractNumId w:val="2"/>
  </w:num>
  <w:num w:numId="3" w16cid:durableId="840892632">
    <w:abstractNumId w:val="13"/>
  </w:num>
  <w:num w:numId="4" w16cid:durableId="746613340">
    <w:abstractNumId w:val="0"/>
  </w:num>
  <w:num w:numId="5" w16cid:durableId="1507478078">
    <w:abstractNumId w:val="11"/>
  </w:num>
  <w:num w:numId="6" w16cid:durableId="840654984">
    <w:abstractNumId w:val="5"/>
  </w:num>
  <w:num w:numId="7" w16cid:durableId="698436349">
    <w:abstractNumId w:val="15"/>
  </w:num>
  <w:num w:numId="8" w16cid:durableId="880747787">
    <w:abstractNumId w:val="18"/>
  </w:num>
  <w:num w:numId="9" w16cid:durableId="1315648108">
    <w:abstractNumId w:val="1"/>
  </w:num>
  <w:num w:numId="10" w16cid:durableId="1949071984">
    <w:abstractNumId w:val="9"/>
  </w:num>
  <w:num w:numId="11" w16cid:durableId="748842909">
    <w:abstractNumId w:val="4"/>
  </w:num>
  <w:num w:numId="12" w16cid:durableId="2141024353">
    <w:abstractNumId w:val="14"/>
  </w:num>
  <w:num w:numId="13" w16cid:durableId="1068308768">
    <w:abstractNumId w:val="17"/>
  </w:num>
  <w:num w:numId="14" w16cid:durableId="1895502672">
    <w:abstractNumId w:val="8"/>
  </w:num>
  <w:num w:numId="15" w16cid:durableId="1673800645">
    <w:abstractNumId w:val="19"/>
  </w:num>
  <w:num w:numId="16" w16cid:durableId="1985809866">
    <w:abstractNumId w:val="20"/>
  </w:num>
  <w:num w:numId="17" w16cid:durableId="1049649988">
    <w:abstractNumId w:val="16"/>
  </w:num>
  <w:num w:numId="18" w16cid:durableId="1021853611">
    <w:abstractNumId w:val="10"/>
  </w:num>
  <w:num w:numId="19" w16cid:durableId="589700423">
    <w:abstractNumId w:val="7"/>
  </w:num>
  <w:num w:numId="20" w16cid:durableId="1907521854">
    <w:abstractNumId w:val="12"/>
  </w:num>
  <w:num w:numId="21" w16cid:durableId="196236529">
    <w:abstractNumId w:val="3"/>
  </w:num>
  <w:num w:numId="22" w16cid:durableId="155210786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8DF"/>
    <w:rsid w:val="00023D11"/>
    <w:rsid w:val="00051157"/>
    <w:rsid w:val="000C54EF"/>
    <w:rsid w:val="00191070"/>
    <w:rsid w:val="001F3F68"/>
    <w:rsid w:val="00222ABE"/>
    <w:rsid w:val="002947D7"/>
    <w:rsid w:val="002C7EA6"/>
    <w:rsid w:val="00332021"/>
    <w:rsid w:val="003859EB"/>
    <w:rsid w:val="003F6EDA"/>
    <w:rsid w:val="004508CB"/>
    <w:rsid w:val="0045112D"/>
    <w:rsid w:val="00524F14"/>
    <w:rsid w:val="005310C0"/>
    <w:rsid w:val="00540E32"/>
    <w:rsid w:val="005679BF"/>
    <w:rsid w:val="005A1A9B"/>
    <w:rsid w:val="00635FA6"/>
    <w:rsid w:val="0072467C"/>
    <w:rsid w:val="00745BEC"/>
    <w:rsid w:val="00787FB3"/>
    <w:rsid w:val="007C5E57"/>
    <w:rsid w:val="00822E75"/>
    <w:rsid w:val="0087427B"/>
    <w:rsid w:val="008A28D0"/>
    <w:rsid w:val="008C547E"/>
    <w:rsid w:val="0096784A"/>
    <w:rsid w:val="00A6688F"/>
    <w:rsid w:val="00AE4B08"/>
    <w:rsid w:val="00B557DE"/>
    <w:rsid w:val="00C86BB4"/>
    <w:rsid w:val="00D0090F"/>
    <w:rsid w:val="00D026F6"/>
    <w:rsid w:val="00D228DF"/>
    <w:rsid w:val="00D634F2"/>
    <w:rsid w:val="00DB3B0E"/>
    <w:rsid w:val="00E42B11"/>
    <w:rsid w:val="00EF5E7B"/>
    <w:rsid w:val="00F1600E"/>
    <w:rsid w:val="00F8776A"/>
    <w:rsid w:val="00FA3F57"/>
    <w:rsid w:val="00FF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4681392"/>
  <w15:docId w15:val="{4E8267F0-DB97-4387-B55E-D8BD5AFF4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F57"/>
    <w:rPr>
      <w:rFonts w:ascii="Calibri" w:hAnsi="Calibri"/>
      <w:color w:val="262626" w:themeColor="text1" w:themeTint="D9"/>
      <w:sz w:val="20"/>
      <w:lang w:val="en-NZ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5E57"/>
    <w:pPr>
      <w:keepNext/>
      <w:keepLines/>
      <w:spacing w:before="360"/>
      <w:outlineLvl w:val="0"/>
    </w:pPr>
    <w:rPr>
      <w:rFonts w:ascii="Georgia" w:eastAsiaTheme="majorEastAsia" w:hAnsi="Georgia" w:cstheme="majorBidi"/>
      <w:bCs/>
      <w:color w:val="273944"/>
      <w:sz w:val="5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79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aps/>
      <w:color w:val="69BBAF"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3F5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273944"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A3F5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Cs/>
      <w:color w:val="273944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6E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6EDA"/>
  </w:style>
  <w:style w:type="paragraph" w:styleId="Footer">
    <w:name w:val="footer"/>
    <w:basedOn w:val="Normal"/>
    <w:link w:val="FooterChar"/>
    <w:uiPriority w:val="99"/>
    <w:unhideWhenUsed/>
    <w:rsid w:val="003F6E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6EDA"/>
  </w:style>
  <w:style w:type="paragraph" w:styleId="BalloonText">
    <w:name w:val="Balloon Text"/>
    <w:basedOn w:val="Normal"/>
    <w:link w:val="BalloonTextChar"/>
    <w:uiPriority w:val="99"/>
    <w:semiHidden/>
    <w:unhideWhenUsed/>
    <w:rsid w:val="003F6E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EDA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C5E57"/>
    <w:rPr>
      <w:rFonts w:ascii="Georgia" w:eastAsiaTheme="majorEastAsia" w:hAnsi="Georgia" w:cstheme="majorBidi"/>
      <w:bCs/>
      <w:color w:val="273944"/>
      <w:sz w:val="56"/>
      <w:szCs w:val="32"/>
      <w:lang w:val="en-NZ"/>
    </w:rPr>
  </w:style>
  <w:style w:type="character" w:customStyle="1" w:styleId="Heading2Char">
    <w:name w:val="Heading 2 Char"/>
    <w:basedOn w:val="DefaultParagraphFont"/>
    <w:link w:val="Heading2"/>
    <w:uiPriority w:val="9"/>
    <w:rsid w:val="005679BF"/>
    <w:rPr>
      <w:rFonts w:asciiTheme="majorHAnsi" w:eastAsiaTheme="majorEastAsia" w:hAnsiTheme="majorHAnsi" w:cstheme="majorBidi"/>
      <w:b/>
      <w:bCs/>
      <w:caps/>
      <w:color w:val="69BBAF"/>
      <w:sz w:val="40"/>
      <w:szCs w:val="40"/>
    </w:rPr>
  </w:style>
  <w:style w:type="paragraph" w:styleId="NoSpacing">
    <w:name w:val="No Spacing"/>
    <w:uiPriority w:val="1"/>
    <w:rsid w:val="00FA3F57"/>
    <w:rPr>
      <w:rFonts w:ascii="Calibri" w:hAnsi="Calibri"/>
      <w:color w:val="262626" w:themeColor="text1" w:themeTint="D9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FA3F57"/>
    <w:rPr>
      <w:rFonts w:asciiTheme="majorHAnsi" w:eastAsiaTheme="majorEastAsia" w:hAnsiTheme="majorHAnsi" w:cstheme="majorBidi"/>
      <w:b/>
      <w:bCs/>
      <w:color w:val="273944"/>
      <w:sz w:val="32"/>
    </w:rPr>
  </w:style>
  <w:style w:type="character" w:customStyle="1" w:styleId="Heading4Char">
    <w:name w:val="Heading 4 Char"/>
    <w:basedOn w:val="DefaultParagraphFont"/>
    <w:link w:val="Heading4"/>
    <w:uiPriority w:val="9"/>
    <w:rsid w:val="00FA3F57"/>
    <w:rPr>
      <w:rFonts w:asciiTheme="majorHAnsi" w:eastAsiaTheme="majorEastAsia" w:hAnsiTheme="majorHAnsi" w:cstheme="majorBidi"/>
      <w:bCs/>
      <w:iCs/>
      <w:color w:val="273944"/>
    </w:rPr>
  </w:style>
  <w:style w:type="paragraph" w:styleId="Subtitle">
    <w:name w:val="Subtitle"/>
    <w:aliases w:val="Italic"/>
    <w:basedOn w:val="Normal"/>
    <w:next w:val="Normal"/>
    <w:link w:val="SubtitleChar"/>
    <w:uiPriority w:val="11"/>
    <w:qFormat/>
    <w:rsid w:val="00D0090F"/>
    <w:pPr>
      <w:numPr>
        <w:ilvl w:val="1"/>
      </w:numPr>
    </w:pPr>
    <w:rPr>
      <w:rFonts w:eastAsiaTheme="majorEastAsia" w:cstheme="majorBidi"/>
      <w:i/>
      <w:iCs/>
      <w:spacing w:val="15"/>
    </w:rPr>
  </w:style>
  <w:style w:type="character" w:customStyle="1" w:styleId="SubtitleChar">
    <w:name w:val="Subtitle Char"/>
    <w:aliases w:val="Italic Char"/>
    <w:basedOn w:val="DefaultParagraphFont"/>
    <w:link w:val="Subtitle"/>
    <w:uiPriority w:val="11"/>
    <w:rsid w:val="00D0090F"/>
    <w:rPr>
      <w:rFonts w:ascii="Calibri" w:eastAsiaTheme="majorEastAsia" w:hAnsi="Calibri" w:cstheme="majorBidi"/>
      <w:i/>
      <w:iCs/>
      <w:color w:val="262626" w:themeColor="text1" w:themeTint="D9"/>
      <w:spacing w:val="15"/>
      <w:sz w:val="20"/>
    </w:rPr>
  </w:style>
  <w:style w:type="character" w:styleId="SubtleEmphasis">
    <w:name w:val="Subtle Emphasis"/>
    <w:aliases w:val="Bold"/>
    <w:basedOn w:val="DefaultParagraphFont"/>
    <w:uiPriority w:val="19"/>
    <w:qFormat/>
    <w:rsid w:val="00D0090F"/>
    <w:rPr>
      <w:b/>
      <w:iCs/>
    </w:rPr>
  </w:style>
  <w:style w:type="character" w:styleId="Emphasis">
    <w:name w:val="Emphasis"/>
    <w:basedOn w:val="DefaultParagraphFont"/>
    <w:uiPriority w:val="20"/>
    <w:rsid w:val="00D0090F"/>
    <w:rPr>
      <w:iCs/>
    </w:rPr>
  </w:style>
  <w:style w:type="paragraph" w:styleId="ListParagraph">
    <w:name w:val="List Paragraph"/>
    <w:aliases w:val="Bullet 1"/>
    <w:basedOn w:val="Normal"/>
    <w:next w:val="ListBullet"/>
    <w:uiPriority w:val="34"/>
    <w:qFormat/>
    <w:rsid w:val="00D0090F"/>
    <w:pPr>
      <w:numPr>
        <w:numId w:val="1"/>
      </w:numPr>
      <w:contextualSpacing/>
    </w:pPr>
  </w:style>
  <w:style w:type="character" w:styleId="IntenseReference">
    <w:name w:val="Intense Reference"/>
    <w:aliases w:val="Bullet"/>
    <w:basedOn w:val="Emphasis"/>
    <w:uiPriority w:val="32"/>
    <w:rsid w:val="00D0090F"/>
    <w:rPr>
      <w:iCs/>
    </w:rPr>
  </w:style>
  <w:style w:type="character" w:styleId="BookTitle">
    <w:name w:val="Book Title"/>
    <w:aliases w:val="Bullet 2"/>
    <w:basedOn w:val="DefaultParagraphFont"/>
    <w:uiPriority w:val="33"/>
    <w:rsid w:val="002C7EA6"/>
    <w:rPr>
      <w:b/>
      <w:bCs/>
      <w:smallCaps/>
      <w:spacing w:val="5"/>
    </w:rPr>
  </w:style>
  <w:style w:type="paragraph" w:styleId="ListBullet">
    <w:name w:val="List Bullet"/>
    <w:basedOn w:val="Normal"/>
    <w:uiPriority w:val="99"/>
    <w:semiHidden/>
    <w:unhideWhenUsed/>
    <w:rsid w:val="00D0090F"/>
    <w:pPr>
      <w:numPr>
        <w:numId w:val="2"/>
      </w:numPr>
      <w:contextualSpacing/>
    </w:pPr>
  </w:style>
  <w:style w:type="paragraph" w:customStyle="1" w:styleId="NumberBullet">
    <w:name w:val="Number Bullet"/>
    <w:basedOn w:val="ListNumber"/>
    <w:next w:val="ListNumber"/>
    <w:rsid w:val="005679BF"/>
    <w:pPr>
      <w:numPr>
        <w:numId w:val="10"/>
      </w:numPr>
    </w:pPr>
  </w:style>
  <w:style w:type="table" w:styleId="TableGrid">
    <w:name w:val="Table Grid"/>
    <w:basedOn w:val="TableNormal"/>
    <w:uiPriority w:val="59"/>
    <w:rsid w:val="002C7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2">
    <w:name w:val="List Bullet 2"/>
    <w:basedOn w:val="Normal"/>
    <w:uiPriority w:val="99"/>
    <w:semiHidden/>
    <w:unhideWhenUsed/>
    <w:rsid w:val="002C7EA6"/>
    <w:pPr>
      <w:numPr>
        <w:numId w:val="4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332021"/>
    <w:rPr>
      <w:color w:val="0000FF" w:themeColor="hyperlink"/>
      <w:u w:val="single"/>
    </w:rPr>
  </w:style>
  <w:style w:type="paragraph" w:customStyle="1" w:styleId="ListNumber1">
    <w:name w:val="List Number 1"/>
    <w:basedOn w:val="Heading2"/>
    <w:rsid w:val="005679BF"/>
    <w:pPr>
      <w:numPr>
        <w:numId w:val="13"/>
      </w:numPr>
    </w:pPr>
    <w:rPr>
      <w:rFonts w:ascii="Calibri" w:hAnsi="Calibri"/>
      <w:b w:val="0"/>
      <w:color w:val="262626" w:themeColor="text1" w:themeTint="D9"/>
      <w:sz w:val="20"/>
      <w:szCs w:val="20"/>
    </w:rPr>
  </w:style>
  <w:style w:type="paragraph" w:styleId="ListNumber">
    <w:name w:val="List Number"/>
    <w:basedOn w:val="Normal"/>
    <w:uiPriority w:val="99"/>
    <w:semiHidden/>
    <w:unhideWhenUsed/>
    <w:rsid w:val="005679BF"/>
    <w:pPr>
      <w:numPr>
        <w:numId w:val="9"/>
      </w:numPr>
      <w:contextualSpacing/>
    </w:pPr>
  </w:style>
  <w:style w:type="numbering" w:customStyle="1" w:styleId="NumberList1">
    <w:name w:val="Number List 1"/>
    <w:basedOn w:val="NoList"/>
    <w:uiPriority w:val="99"/>
    <w:rsid w:val="00AE4B08"/>
    <w:pPr>
      <w:numPr>
        <w:numId w:val="14"/>
      </w:numPr>
    </w:pPr>
  </w:style>
  <w:style w:type="numbering" w:customStyle="1" w:styleId="Style1">
    <w:name w:val="Style1"/>
    <w:basedOn w:val="NoList"/>
    <w:uiPriority w:val="99"/>
    <w:rsid w:val="00AE4B08"/>
    <w:pPr>
      <w:numPr>
        <w:numId w:val="15"/>
      </w:numPr>
    </w:pPr>
  </w:style>
  <w:style w:type="numbering" w:customStyle="1" w:styleId="Style2">
    <w:name w:val="Style2"/>
    <w:basedOn w:val="NoList"/>
    <w:uiPriority w:val="99"/>
    <w:rsid w:val="000C54EF"/>
    <w:pPr>
      <w:numPr>
        <w:numId w:val="17"/>
      </w:numPr>
    </w:pPr>
  </w:style>
  <w:style w:type="paragraph" w:customStyle="1" w:styleId="NumberBullet1">
    <w:name w:val="Number Bullet 1"/>
    <w:basedOn w:val="ListParagraph"/>
    <w:qFormat/>
    <w:rsid w:val="000C54EF"/>
    <w:pPr>
      <w:numPr>
        <w:numId w:val="16"/>
      </w:numPr>
    </w:pPr>
  </w:style>
  <w:style w:type="character" w:styleId="PageNumber">
    <w:name w:val="page number"/>
    <w:basedOn w:val="DefaultParagraphFont"/>
    <w:uiPriority w:val="99"/>
    <w:semiHidden/>
    <w:unhideWhenUsed/>
    <w:rsid w:val="00E42B11"/>
  </w:style>
  <w:style w:type="paragraph" w:customStyle="1" w:styleId="TableHeading">
    <w:name w:val="Table Heading"/>
    <w:basedOn w:val="Normal"/>
    <w:link w:val="TableHeadingChar"/>
    <w:rsid w:val="00B557DE"/>
    <w:rPr>
      <w:color w:val="FFFFFF" w:themeColor="background1"/>
    </w:rPr>
  </w:style>
  <w:style w:type="character" w:customStyle="1" w:styleId="TableHeadingChar">
    <w:name w:val="Table Heading Char"/>
    <w:basedOn w:val="DefaultParagraphFont"/>
    <w:link w:val="TableHeading"/>
    <w:rsid w:val="00B557DE"/>
    <w:rPr>
      <w:rFonts w:ascii="Calibri" w:hAnsi="Calibri"/>
      <w:color w:val="FFFFFF" w:themeColor="background1"/>
      <w:sz w:val="20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yne\Documents\Custom%20Office%20Templates\Bike%20Ready%20simpl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A2F6323-82B3-4473-951A-6715FE4E1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Bike Ready simple template</Template>
  <TotalTime>7</TotalTime>
  <Pages>4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 Transport Agency</Company>
  <LinksUpToDate>false</LinksUpToDate>
  <CharactersWithSpaces>6078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Wayne Erb</cp:lastModifiedBy>
  <cp:revision>9</cp:revision>
  <dcterms:created xsi:type="dcterms:W3CDTF">2022-12-07T01:27:00Z</dcterms:created>
  <dcterms:modified xsi:type="dcterms:W3CDTF">2022-12-08T00:29:00Z</dcterms:modified>
</cp:coreProperties>
</file>